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342599" w14:textId="77777777" w:rsidR="00145BE2" w:rsidRPr="00A309CD" w:rsidRDefault="00B0672B" w:rsidP="00B0672B">
      <w:pPr>
        <w:jc w:val="right"/>
        <w:rPr>
          <w:b/>
          <w:color w:val="003399"/>
          <w:sz w:val="24"/>
          <w:szCs w:val="24"/>
        </w:rPr>
      </w:pPr>
      <w:bookmarkStart w:id="0" w:name="_GoBack"/>
      <w:r w:rsidRPr="00A309CD">
        <w:rPr>
          <w:b/>
          <w:color w:val="003399"/>
          <w:sz w:val="24"/>
          <w:szCs w:val="24"/>
        </w:rPr>
        <w:t>DAEJ n°</w:t>
      </w:r>
      <w:r w:rsidR="00B92040" w:rsidRPr="00A309CD">
        <w:rPr>
          <w:b/>
          <w:color w:val="003399"/>
          <w:sz w:val="24"/>
          <w:szCs w:val="24"/>
        </w:rPr>
        <w:t>41</w:t>
      </w:r>
    </w:p>
    <w:p w14:paraId="6C9345B8" w14:textId="77777777" w:rsidR="00B0672B" w:rsidRPr="00A309CD" w:rsidRDefault="00B92040" w:rsidP="00B0672B">
      <w:pPr>
        <w:jc w:val="right"/>
        <w:rPr>
          <w:b/>
          <w:color w:val="003399"/>
          <w:sz w:val="24"/>
          <w:szCs w:val="24"/>
        </w:rPr>
      </w:pPr>
      <w:proofErr w:type="gramStart"/>
      <w:r w:rsidRPr="00A309CD">
        <w:rPr>
          <w:b/>
          <w:color w:val="003399"/>
          <w:sz w:val="24"/>
          <w:szCs w:val="24"/>
        </w:rPr>
        <w:t>d</w:t>
      </w:r>
      <w:r w:rsidR="00B0672B" w:rsidRPr="00A309CD">
        <w:rPr>
          <w:b/>
          <w:color w:val="003399"/>
          <w:sz w:val="24"/>
          <w:szCs w:val="24"/>
        </w:rPr>
        <w:t>u</w:t>
      </w:r>
      <w:proofErr w:type="gramEnd"/>
      <w:r w:rsidRPr="00A309CD">
        <w:rPr>
          <w:b/>
          <w:color w:val="003399"/>
          <w:sz w:val="24"/>
          <w:szCs w:val="24"/>
        </w:rPr>
        <w:t xml:space="preserve"> 16 mars 20250</w:t>
      </w:r>
    </w:p>
    <w:p w14:paraId="68E69210" w14:textId="77777777" w:rsidR="00B92040" w:rsidRDefault="00B92040" w:rsidP="00B0672B">
      <w:pPr>
        <w:jc w:val="right"/>
        <w:rPr>
          <w:b/>
          <w:sz w:val="24"/>
          <w:szCs w:val="24"/>
        </w:rPr>
      </w:pPr>
    </w:p>
    <w:p w14:paraId="707E5124" w14:textId="77777777" w:rsidR="00B92040" w:rsidRPr="00B0672B" w:rsidRDefault="00B92040" w:rsidP="00B0672B">
      <w:pPr>
        <w:jc w:val="right"/>
        <w:rPr>
          <w:b/>
          <w:sz w:val="24"/>
          <w:szCs w:val="24"/>
        </w:rPr>
      </w:pPr>
    </w:p>
    <w:p w14:paraId="38FBD068" w14:textId="77777777" w:rsidR="00B92040" w:rsidRDefault="00B92040" w:rsidP="00B92040">
      <w:pPr>
        <w:jc w:val="center"/>
        <w:rPr>
          <w:rFonts w:eastAsia="Times New Roman"/>
          <w:b/>
          <w:sz w:val="32"/>
        </w:rPr>
      </w:pPr>
      <w:r w:rsidRPr="00D83628">
        <w:rPr>
          <w:rFonts w:eastAsia="Times New Roman"/>
          <w:b/>
          <w:sz w:val="32"/>
        </w:rPr>
        <w:t xml:space="preserve">Face aux conséquences économiques du </w:t>
      </w:r>
      <w:proofErr w:type="spellStart"/>
      <w:r w:rsidRPr="00D83628">
        <w:rPr>
          <w:rFonts w:eastAsia="Times New Roman"/>
          <w:b/>
          <w:sz w:val="32"/>
        </w:rPr>
        <w:t>Covid</w:t>
      </w:r>
      <w:proofErr w:type="spellEnd"/>
      <w:r w:rsidRPr="00D83628">
        <w:rPr>
          <w:rFonts w:eastAsia="Times New Roman"/>
          <w:b/>
          <w:sz w:val="32"/>
        </w:rPr>
        <w:t xml:space="preserve"> 19 (Coronavirus), </w:t>
      </w:r>
    </w:p>
    <w:p w14:paraId="2F770936" w14:textId="77777777" w:rsidR="00B92040" w:rsidRPr="00D83628" w:rsidRDefault="00B92040" w:rsidP="00B92040">
      <w:pPr>
        <w:jc w:val="center"/>
        <w:rPr>
          <w:rFonts w:eastAsia="Times New Roman"/>
          <w:b/>
          <w:sz w:val="32"/>
        </w:rPr>
      </w:pPr>
      <w:proofErr w:type="gramStart"/>
      <w:r w:rsidRPr="00D83628">
        <w:rPr>
          <w:rFonts w:eastAsia="Times New Roman"/>
          <w:b/>
          <w:sz w:val="32"/>
        </w:rPr>
        <w:t>pensez</w:t>
      </w:r>
      <w:proofErr w:type="gramEnd"/>
      <w:r w:rsidRPr="00D83628">
        <w:rPr>
          <w:rFonts w:eastAsia="Times New Roman"/>
          <w:b/>
          <w:sz w:val="32"/>
        </w:rPr>
        <w:t xml:space="preserve"> à la prote</w:t>
      </w:r>
      <w:r>
        <w:rPr>
          <w:rFonts w:eastAsia="Times New Roman"/>
          <w:b/>
          <w:sz w:val="32"/>
        </w:rPr>
        <w:t>ction des tribunaux de commerce</w:t>
      </w:r>
    </w:p>
    <w:p w14:paraId="04A937E2" w14:textId="77777777" w:rsidR="00B92040" w:rsidRDefault="00B92040" w:rsidP="00B92040">
      <w:pPr>
        <w:rPr>
          <w:rFonts w:ascii="Calibri" w:eastAsia="Times New Roman" w:hAnsi="Calibri" w:cs="Times New Roman"/>
        </w:rPr>
      </w:pPr>
    </w:p>
    <w:p w14:paraId="6AD195B7" w14:textId="77777777" w:rsidR="00B92040" w:rsidRPr="00D83628" w:rsidRDefault="00B92040" w:rsidP="00B92040">
      <w:pPr>
        <w:rPr>
          <w:rFonts w:ascii="Calibri" w:eastAsia="Times New Roman" w:hAnsi="Calibri" w:cs="Times New Roman"/>
        </w:rPr>
      </w:pPr>
    </w:p>
    <w:p w14:paraId="05698BAA" w14:textId="77777777" w:rsidR="00B92040" w:rsidRDefault="00B92040" w:rsidP="00B92040">
      <w:pPr>
        <w:jc w:val="both"/>
        <w:rPr>
          <w:rFonts w:eastAsia="Times New Roman"/>
          <w:sz w:val="24"/>
          <w:szCs w:val="24"/>
        </w:rPr>
      </w:pPr>
      <w:r w:rsidRPr="00B92040">
        <w:rPr>
          <w:rFonts w:eastAsia="Times New Roman"/>
          <w:sz w:val="24"/>
          <w:szCs w:val="24"/>
        </w:rPr>
        <w:t>Au-delà des mesures prises par les pouvoirs publics au secours des acteurs économiques, les entreprises, artisans et autoentrepreneurs peuvent se placer sous la protection de la justice en demandant l’ouverture d’une procédure de prévention au tribunal de commerce.</w:t>
      </w:r>
    </w:p>
    <w:p w14:paraId="3D1FA7BD" w14:textId="77777777" w:rsidR="00B92040" w:rsidRPr="00B92040" w:rsidRDefault="00B92040" w:rsidP="00B92040">
      <w:pPr>
        <w:jc w:val="both"/>
        <w:rPr>
          <w:rFonts w:eastAsia="Times New Roman"/>
          <w:sz w:val="24"/>
          <w:szCs w:val="24"/>
        </w:rPr>
      </w:pPr>
    </w:p>
    <w:p w14:paraId="0272D33B" w14:textId="77777777" w:rsidR="00B92040" w:rsidRPr="00B92040" w:rsidRDefault="00B92040" w:rsidP="00B92040">
      <w:pPr>
        <w:jc w:val="both"/>
        <w:rPr>
          <w:rFonts w:eastAsia="Times New Roman"/>
          <w:b/>
          <w:i/>
          <w:color w:val="0070C0"/>
          <w:sz w:val="24"/>
          <w:szCs w:val="24"/>
        </w:rPr>
      </w:pPr>
      <w:r w:rsidRPr="00B92040">
        <w:rPr>
          <w:rFonts w:eastAsia="Times New Roman"/>
          <w:b/>
          <w:i/>
          <w:color w:val="0070C0"/>
          <w:sz w:val="24"/>
          <w:szCs w:val="24"/>
        </w:rPr>
        <w:t xml:space="preserve">Quels sont les dispositifs existants au soutien des entrepreneurs ? </w:t>
      </w:r>
    </w:p>
    <w:p w14:paraId="0A1E428C" w14:textId="77777777" w:rsidR="00B92040" w:rsidRDefault="00B92040" w:rsidP="00B92040">
      <w:pPr>
        <w:jc w:val="both"/>
        <w:rPr>
          <w:rFonts w:eastAsia="Times New Roman"/>
          <w:sz w:val="24"/>
          <w:szCs w:val="24"/>
        </w:rPr>
      </w:pPr>
      <w:r w:rsidRPr="00B92040">
        <w:rPr>
          <w:rFonts w:eastAsia="Times New Roman"/>
          <w:sz w:val="24"/>
          <w:szCs w:val="24"/>
        </w:rPr>
        <w:t xml:space="preserve">Il existe deux procédures préventives : le mandat ad hoc et la conciliation. Il s’agit de dispositifs amiables, enclenchés sur initiative du chef d’entreprise et confidentiels, c’est-à-dire sans publicité au moment de l’ouverture de la procédure. </w:t>
      </w:r>
    </w:p>
    <w:p w14:paraId="45EBAC9C" w14:textId="77777777" w:rsidR="00B92040" w:rsidRPr="00B92040" w:rsidRDefault="00B92040" w:rsidP="00B92040">
      <w:pPr>
        <w:jc w:val="both"/>
        <w:rPr>
          <w:rFonts w:eastAsia="Times New Roman"/>
          <w:sz w:val="24"/>
          <w:szCs w:val="24"/>
        </w:rPr>
      </w:pPr>
    </w:p>
    <w:p w14:paraId="7D49AC88" w14:textId="77777777" w:rsidR="00B92040" w:rsidRPr="00B92040" w:rsidRDefault="00B92040" w:rsidP="00B92040">
      <w:pPr>
        <w:rPr>
          <w:rFonts w:eastAsia="Times New Roman"/>
          <w:b/>
          <w:i/>
          <w:color w:val="0070C0"/>
          <w:sz w:val="24"/>
          <w:szCs w:val="24"/>
        </w:rPr>
      </w:pPr>
      <w:r w:rsidRPr="00B92040">
        <w:rPr>
          <w:rFonts w:eastAsia="Times New Roman"/>
          <w:b/>
          <w:i/>
          <w:color w:val="0070C0"/>
          <w:sz w:val="24"/>
          <w:szCs w:val="24"/>
        </w:rPr>
        <w:t xml:space="preserve">Quelles sont les différences entre ces deux dispositifs ? </w:t>
      </w:r>
    </w:p>
    <w:p w14:paraId="0E6CE674" w14:textId="77777777" w:rsidR="00B92040" w:rsidRPr="00B92040" w:rsidRDefault="00B92040" w:rsidP="00B92040">
      <w:pPr>
        <w:jc w:val="both"/>
        <w:rPr>
          <w:rFonts w:eastAsia="Times New Roman"/>
          <w:sz w:val="24"/>
          <w:szCs w:val="24"/>
        </w:rPr>
      </w:pPr>
      <w:r w:rsidRPr="00B92040">
        <w:rPr>
          <w:rFonts w:eastAsia="Times New Roman"/>
          <w:sz w:val="24"/>
          <w:szCs w:val="24"/>
        </w:rPr>
        <w:t xml:space="preserve">Le mandat ad hoc concerne les entreprises qui sont sur le point de rencontrer des difficultés financières et qui ne sont pas en état de cessation des paiements. Il permet à l’entreprise, via l’appui d’un mandataire désigné par le tribunal de commerce, de dialoguer et négocier avec ses créanciers.   </w:t>
      </w:r>
    </w:p>
    <w:p w14:paraId="02D1AC2A" w14:textId="77777777" w:rsidR="00B92040" w:rsidRPr="00B92040" w:rsidRDefault="00B92040" w:rsidP="00B92040">
      <w:pPr>
        <w:jc w:val="both"/>
        <w:rPr>
          <w:rFonts w:eastAsia="Times New Roman"/>
          <w:sz w:val="24"/>
          <w:szCs w:val="24"/>
        </w:rPr>
      </w:pPr>
      <w:r w:rsidRPr="00B92040">
        <w:rPr>
          <w:rFonts w:eastAsia="Times New Roman"/>
          <w:sz w:val="24"/>
          <w:szCs w:val="24"/>
        </w:rPr>
        <w:t xml:space="preserve">La conciliation va plus loin dans la protection et concerne les entreprises qui rencontrent des difficultés financières plus importantes et qui ne se trouvent pas en état de cessation des paiements depuis plus de 45 jours. Le tribunal de commerce va désigner un conciliateur qui aura pour mission de favoriser la conclusion d’un accord entre l’entreprise et l’ensemble de ses créanciers. </w:t>
      </w:r>
    </w:p>
    <w:p w14:paraId="40C66754" w14:textId="77777777" w:rsidR="00B92040" w:rsidRPr="00B92040" w:rsidRDefault="00B92040" w:rsidP="00B92040">
      <w:pPr>
        <w:rPr>
          <w:rFonts w:eastAsia="Times New Roman"/>
          <w:sz w:val="24"/>
          <w:szCs w:val="24"/>
        </w:rPr>
      </w:pPr>
      <w:r w:rsidRPr="00B92040">
        <w:rPr>
          <w:rFonts w:eastAsia="Times New Roman"/>
          <w:sz w:val="24"/>
          <w:szCs w:val="24"/>
        </w:rPr>
        <w:t xml:space="preserve">En cas d’accord, celui-ci peut être confidentiel : il est alors constaté par une ordonnance du président du tribunal qui lui donne force exécutoire. Il peut aussi être soumis à publicité à la demande du chef d’entreprise, en étant homologué par un jugement du tribunal. </w:t>
      </w:r>
    </w:p>
    <w:p w14:paraId="1676D178" w14:textId="77777777" w:rsidR="00B92040" w:rsidRPr="00B92040" w:rsidRDefault="00B92040" w:rsidP="00B92040">
      <w:pPr>
        <w:rPr>
          <w:rFonts w:eastAsia="Times New Roman"/>
          <w:sz w:val="24"/>
          <w:szCs w:val="24"/>
        </w:rPr>
      </w:pPr>
    </w:p>
    <w:p w14:paraId="674EABCD" w14:textId="77777777" w:rsidR="00B92040" w:rsidRPr="00B92040" w:rsidRDefault="00B92040" w:rsidP="00B92040">
      <w:pPr>
        <w:rPr>
          <w:rFonts w:eastAsia="Times New Roman"/>
          <w:sz w:val="24"/>
          <w:szCs w:val="24"/>
        </w:rPr>
      </w:pPr>
      <w:r w:rsidRPr="00B92040">
        <w:rPr>
          <w:rFonts w:eastAsia="Times New Roman"/>
          <w:sz w:val="24"/>
          <w:szCs w:val="24"/>
        </w:rPr>
        <w:t xml:space="preserve">Ces procédures ont l’avantage de se dérouler sous l’égide d’un mandataire de justice et permettent ainsi aux entrepreneurs de ne pas surmonter seuls leurs difficultés financières. </w:t>
      </w:r>
    </w:p>
    <w:p w14:paraId="5021D50D" w14:textId="77777777" w:rsidR="00B92040" w:rsidRPr="00B92040" w:rsidRDefault="00B92040" w:rsidP="00B92040">
      <w:pPr>
        <w:rPr>
          <w:rFonts w:eastAsia="Times New Roman"/>
          <w:b/>
          <w:i/>
          <w:color w:val="0070C0"/>
          <w:sz w:val="24"/>
          <w:szCs w:val="24"/>
        </w:rPr>
      </w:pPr>
    </w:p>
    <w:p w14:paraId="3CF73E0C" w14:textId="77777777" w:rsidR="00B92040" w:rsidRPr="00B92040" w:rsidRDefault="00B92040" w:rsidP="00B92040">
      <w:pPr>
        <w:rPr>
          <w:rFonts w:eastAsia="Times New Roman"/>
          <w:b/>
          <w:i/>
          <w:color w:val="0070C0"/>
          <w:sz w:val="24"/>
          <w:szCs w:val="24"/>
        </w:rPr>
      </w:pPr>
      <w:r w:rsidRPr="00B92040">
        <w:rPr>
          <w:rFonts w:eastAsia="Times New Roman"/>
          <w:b/>
          <w:i/>
          <w:color w:val="0070C0"/>
          <w:sz w:val="24"/>
          <w:szCs w:val="24"/>
        </w:rPr>
        <w:t xml:space="preserve">Comment mettre en œuvre ces procédures ? </w:t>
      </w:r>
    </w:p>
    <w:p w14:paraId="74142288" w14:textId="77777777" w:rsidR="00B92040" w:rsidRPr="00B92040" w:rsidRDefault="00B92040" w:rsidP="00B92040">
      <w:pPr>
        <w:rPr>
          <w:rFonts w:eastAsia="Times New Roman"/>
          <w:sz w:val="24"/>
          <w:szCs w:val="24"/>
        </w:rPr>
      </w:pPr>
      <w:r w:rsidRPr="00B92040">
        <w:rPr>
          <w:rFonts w:eastAsia="Times New Roman"/>
          <w:sz w:val="24"/>
          <w:szCs w:val="24"/>
        </w:rPr>
        <w:t xml:space="preserve">Pour les mettre en œuvre, l’entreprise doit adresser par courrier ou remettre en main propre une demande au greffe du tribunal de commerce, accompagnée de toutes les pièces nécessaires. </w:t>
      </w:r>
    </w:p>
    <w:p w14:paraId="437DA2E2" w14:textId="77777777" w:rsidR="00B92040" w:rsidRPr="00B92040" w:rsidRDefault="00B92040" w:rsidP="00B92040">
      <w:pPr>
        <w:rPr>
          <w:rFonts w:eastAsia="Times New Roman"/>
          <w:sz w:val="24"/>
          <w:szCs w:val="24"/>
        </w:rPr>
      </w:pPr>
      <w:r w:rsidRPr="00B92040">
        <w:rPr>
          <w:rFonts w:eastAsia="Times New Roman"/>
          <w:sz w:val="24"/>
          <w:szCs w:val="24"/>
        </w:rPr>
        <w:t xml:space="preserve">A cet effet, vous trouverez en annexe 1 un imprimé de demande de désignation d’un mandataire ad hoc et en annexe 2 un imprimé de demande de conciliation. </w:t>
      </w:r>
    </w:p>
    <w:p w14:paraId="45DE8C19" w14:textId="77777777" w:rsidR="00B92040" w:rsidRPr="00B92040" w:rsidRDefault="00B92040" w:rsidP="00B92040">
      <w:pPr>
        <w:rPr>
          <w:rFonts w:eastAsia="Times New Roman"/>
          <w:sz w:val="24"/>
          <w:szCs w:val="24"/>
        </w:rPr>
      </w:pPr>
    </w:p>
    <w:p w14:paraId="05B16650" w14:textId="77777777" w:rsidR="00145BE2" w:rsidRPr="00B92040" w:rsidRDefault="00B92040" w:rsidP="00B92040">
      <w:pPr>
        <w:rPr>
          <w:sz w:val="24"/>
          <w:szCs w:val="24"/>
        </w:rPr>
      </w:pPr>
      <w:r w:rsidRPr="00B92040">
        <w:rPr>
          <w:rFonts w:eastAsia="Times New Roman"/>
          <w:i/>
          <w:sz w:val="24"/>
          <w:szCs w:val="24"/>
        </w:rPr>
        <w:t>Contactez le SVP juridique au 01 40 55 10 71</w:t>
      </w:r>
      <w:bookmarkEnd w:id="0"/>
    </w:p>
    <w:sectPr w:rsidR="00145BE2" w:rsidRPr="00B92040" w:rsidSect="00421C65">
      <w:headerReference w:type="even" r:id="rId6"/>
      <w:headerReference w:type="default" r:id="rId7"/>
      <w:footerReference w:type="even" r:id="rId8"/>
      <w:footerReference w:type="default" r:id="rId9"/>
      <w:headerReference w:type="first" r:id="rId10"/>
      <w:footerReference w:type="first" r:id="rId11"/>
      <w:pgSz w:w="11906" w:h="16838"/>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0E9CE5" w14:textId="77777777" w:rsidR="00CC200B" w:rsidRDefault="00CC200B" w:rsidP="00CC200B">
      <w:r>
        <w:separator/>
      </w:r>
    </w:p>
  </w:endnote>
  <w:endnote w:type="continuationSeparator" w:id="0">
    <w:p w14:paraId="2A6B8B4B" w14:textId="77777777" w:rsidR="00CC200B" w:rsidRDefault="00CC200B" w:rsidP="00CC2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30359" w14:textId="77777777" w:rsidR="00F516A2" w:rsidRDefault="00F516A2">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6402478"/>
      <w:docPartObj>
        <w:docPartGallery w:val="Page Numbers (Bottom of Page)"/>
        <w:docPartUnique/>
      </w:docPartObj>
    </w:sdtPr>
    <w:sdtEndPr/>
    <w:sdtContent>
      <w:sdt>
        <w:sdtPr>
          <w:id w:val="-1769616900"/>
          <w:docPartObj>
            <w:docPartGallery w:val="Page Numbers (Top of Page)"/>
            <w:docPartUnique/>
          </w:docPartObj>
        </w:sdtPr>
        <w:sdtEndPr/>
        <w:sdtContent>
          <w:p w14:paraId="5A567813" w14:textId="205A9D04" w:rsidR="00FF7396" w:rsidRPr="007A5536" w:rsidRDefault="00FF7396">
            <w:pPr>
              <w:pStyle w:val="Pieddepage"/>
              <w:jc w:val="right"/>
            </w:pPr>
            <w:r w:rsidRPr="007A5536">
              <w:rPr>
                <w:bCs/>
                <w:sz w:val="24"/>
                <w:szCs w:val="24"/>
              </w:rPr>
              <w:fldChar w:fldCharType="begin"/>
            </w:r>
            <w:r w:rsidRPr="007A5536">
              <w:rPr>
                <w:bCs/>
              </w:rPr>
              <w:instrText>PAGE</w:instrText>
            </w:r>
            <w:r w:rsidRPr="007A5536">
              <w:rPr>
                <w:bCs/>
                <w:sz w:val="24"/>
                <w:szCs w:val="24"/>
              </w:rPr>
              <w:fldChar w:fldCharType="separate"/>
            </w:r>
            <w:r w:rsidR="00A309CD">
              <w:rPr>
                <w:bCs/>
                <w:noProof/>
              </w:rPr>
              <w:t>1</w:t>
            </w:r>
            <w:r w:rsidRPr="007A5536">
              <w:rPr>
                <w:bCs/>
                <w:sz w:val="24"/>
                <w:szCs w:val="24"/>
              </w:rPr>
              <w:fldChar w:fldCharType="end"/>
            </w:r>
            <w:r w:rsidRPr="007A5536">
              <w:t xml:space="preserve"> / </w:t>
            </w:r>
            <w:r w:rsidRPr="007A5536">
              <w:rPr>
                <w:bCs/>
                <w:sz w:val="24"/>
                <w:szCs w:val="24"/>
              </w:rPr>
              <w:fldChar w:fldCharType="begin"/>
            </w:r>
            <w:r w:rsidRPr="007A5536">
              <w:rPr>
                <w:bCs/>
              </w:rPr>
              <w:instrText>NUMPAGES</w:instrText>
            </w:r>
            <w:r w:rsidRPr="007A5536">
              <w:rPr>
                <w:bCs/>
                <w:sz w:val="24"/>
                <w:szCs w:val="24"/>
              </w:rPr>
              <w:fldChar w:fldCharType="separate"/>
            </w:r>
            <w:r w:rsidR="00A309CD">
              <w:rPr>
                <w:bCs/>
                <w:noProof/>
              </w:rPr>
              <w:t>1</w:t>
            </w:r>
            <w:r w:rsidRPr="007A5536">
              <w:rPr>
                <w:bCs/>
                <w:sz w:val="24"/>
                <w:szCs w:val="24"/>
              </w:rPr>
              <w:fldChar w:fldCharType="end"/>
            </w:r>
          </w:p>
        </w:sdtContent>
      </w:sdt>
    </w:sdtContent>
  </w:sdt>
  <w:p w14:paraId="42495442" w14:textId="77777777" w:rsidR="007A5536" w:rsidRPr="007A5536" w:rsidRDefault="007A5536" w:rsidP="007A5536">
    <w:pPr>
      <w:spacing w:before="60"/>
      <w:rPr>
        <w:b/>
        <w:bCs/>
        <w:color w:val="7F7F7F" w:themeColor="text1" w:themeTint="80"/>
        <w:sz w:val="16"/>
        <w:szCs w:val="16"/>
      </w:rPr>
    </w:pPr>
    <w:r w:rsidRPr="007A5536">
      <w:rPr>
        <w:b/>
        <w:bCs/>
        <w:color w:val="7F7F7F" w:themeColor="text1" w:themeTint="80"/>
        <w:sz w:val="16"/>
        <w:szCs w:val="16"/>
      </w:rPr>
      <w:t>FFB GRAND PARIS</w:t>
    </w:r>
  </w:p>
  <w:p w14:paraId="12323C46" w14:textId="77777777" w:rsidR="007A5536" w:rsidRPr="007A5536" w:rsidRDefault="007A5536" w:rsidP="007A5536">
    <w:pPr>
      <w:rPr>
        <w:b/>
        <w:bCs/>
        <w:color w:val="7F7F7F" w:themeColor="text1" w:themeTint="80"/>
        <w:sz w:val="16"/>
        <w:szCs w:val="16"/>
      </w:rPr>
    </w:pPr>
    <w:r w:rsidRPr="007A5536">
      <w:rPr>
        <w:b/>
        <w:bCs/>
        <w:color w:val="7F7F7F" w:themeColor="text1" w:themeTint="80"/>
        <w:sz w:val="16"/>
        <w:szCs w:val="16"/>
      </w:rPr>
      <w:t>Direction des Affaires Economiques et Juridiques</w:t>
    </w:r>
  </w:p>
  <w:p w14:paraId="2C3F0A2B" w14:textId="77777777" w:rsidR="007A5536" w:rsidRPr="007A5536" w:rsidRDefault="007A5536" w:rsidP="007A5536">
    <w:pPr>
      <w:rPr>
        <w:b/>
        <w:bCs/>
        <w:color w:val="7F7F7F" w:themeColor="text1" w:themeTint="80"/>
        <w:sz w:val="16"/>
        <w:szCs w:val="16"/>
      </w:rPr>
    </w:pPr>
    <w:r w:rsidRPr="007A5536">
      <w:rPr>
        <w:b/>
        <w:bCs/>
        <w:color w:val="7F7F7F" w:themeColor="text1" w:themeTint="80"/>
        <w:sz w:val="16"/>
        <w:szCs w:val="16"/>
      </w:rPr>
      <w:t>10 rue du Débarcadère - 75852 PARIS Cedex 17</w:t>
    </w:r>
  </w:p>
  <w:p w14:paraId="0975EB11" w14:textId="77777777" w:rsidR="007A5536" w:rsidRPr="007A5536" w:rsidRDefault="007A5536" w:rsidP="007A5536">
    <w:pPr>
      <w:rPr>
        <w:b/>
        <w:bCs/>
        <w:color w:val="7F7F7F" w:themeColor="text1" w:themeTint="80"/>
        <w:sz w:val="16"/>
        <w:szCs w:val="16"/>
      </w:rPr>
    </w:pPr>
    <w:r w:rsidRPr="007A5536">
      <w:rPr>
        <w:b/>
        <w:bCs/>
        <w:color w:val="7F7F7F" w:themeColor="text1" w:themeTint="80"/>
        <w:sz w:val="16"/>
        <w:szCs w:val="16"/>
      </w:rPr>
      <w:t xml:space="preserve">Téléphone 01 40 55 10 </w:t>
    </w:r>
    <w:r w:rsidR="00F516A2">
      <w:rPr>
        <w:b/>
        <w:bCs/>
        <w:color w:val="7F7F7F" w:themeColor="text1" w:themeTint="80"/>
        <w:sz w:val="16"/>
        <w:szCs w:val="16"/>
      </w:rPr>
      <w:t>71</w:t>
    </w:r>
  </w:p>
  <w:p w14:paraId="0BC79DAE" w14:textId="77777777" w:rsidR="007A5536" w:rsidRPr="007A5536" w:rsidRDefault="00A309CD" w:rsidP="007A5536">
    <w:pPr>
      <w:rPr>
        <w:bCs/>
        <w:color w:val="7F7F7F" w:themeColor="text1" w:themeTint="80"/>
        <w:sz w:val="16"/>
        <w:szCs w:val="16"/>
      </w:rPr>
    </w:pPr>
    <w:hyperlink r:id="rId1" w:history="1">
      <w:r w:rsidR="007A5536" w:rsidRPr="007A5536">
        <w:rPr>
          <w:rStyle w:val="Lienhypertexte"/>
          <w:bCs w:val="0"/>
          <w:color w:val="7F7F7F" w:themeColor="text1" w:themeTint="80"/>
          <w:sz w:val="16"/>
          <w:szCs w:val="16"/>
        </w:rPr>
        <w:t>www.grandparis.ffbatiment.fr</w:t>
      </w:r>
    </w:hyperlink>
  </w:p>
  <w:p w14:paraId="03F8E006" w14:textId="77777777" w:rsidR="007A5536" w:rsidRPr="007A5536" w:rsidRDefault="007A5536" w:rsidP="007A5536">
    <w:pPr>
      <w:rPr>
        <w:b/>
        <w:bCs/>
        <w:color w:val="7F7F7F" w:themeColor="text1" w:themeTint="80"/>
        <w:sz w:val="16"/>
        <w:szCs w:val="16"/>
      </w:rPr>
    </w:pPr>
    <w:proofErr w:type="spellStart"/>
    <w:proofErr w:type="gramStart"/>
    <w:r w:rsidRPr="007A5536">
      <w:rPr>
        <w:b/>
        <w:bCs/>
        <w:color w:val="7F7F7F" w:themeColor="text1" w:themeTint="80"/>
        <w:sz w:val="16"/>
        <w:szCs w:val="16"/>
      </w:rPr>
      <w:t>siret</w:t>
    </w:r>
    <w:proofErr w:type="spellEnd"/>
    <w:proofErr w:type="gramEnd"/>
    <w:r w:rsidRPr="007A5536">
      <w:rPr>
        <w:b/>
        <w:bCs/>
        <w:color w:val="7F7F7F" w:themeColor="text1" w:themeTint="80"/>
        <w:sz w:val="16"/>
        <w:szCs w:val="16"/>
      </w:rPr>
      <w:t> : 784 718 033 00011</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FF3C5" w14:textId="77777777" w:rsidR="00F516A2" w:rsidRDefault="00F516A2">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2F4BCF" w14:textId="77777777" w:rsidR="00CC200B" w:rsidRDefault="00CC200B" w:rsidP="00CC200B">
      <w:r>
        <w:separator/>
      </w:r>
    </w:p>
  </w:footnote>
  <w:footnote w:type="continuationSeparator" w:id="0">
    <w:p w14:paraId="6A8E0ED7" w14:textId="77777777" w:rsidR="00CC200B" w:rsidRDefault="00CC200B" w:rsidP="00CC2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ECA38" w14:textId="77777777" w:rsidR="00F516A2" w:rsidRDefault="00F516A2">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F50D9" w14:textId="77777777" w:rsidR="00CC200B" w:rsidRPr="00FB7677" w:rsidRDefault="005D1625" w:rsidP="00B0672B">
    <w:pPr>
      <w:pStyle w:val="En-tte"/>
      <w:tabs>
        <w:tab w:val="clear" w:pos="4536"/>
        <w:tab w:val="clear" w:pos="9072"/>
      </w:tabs>
      <w:rPr>
        <w:sz w:val="24"/>
        <w:szCs w:val="24"/>
      </w:rPr>
    </w:pPr>
    <w:r w:rsidRPr="00FB7677">
      <w:rPr>
        <w:b/>
        <w:bCs/>
        <w:noProof/>
        <w:color w:val="003399"/>
        <w:sz w:val="24"/>
        <w:szCs w:val="24"/>
        <w:lang w:eastAsia="fr-FR"/>
      </w:rPr>
      <mc:AlternateContent>
        <mc:Choice Requires="wps">
          <w:drawing>
            <wp:anchor distT="0" distB="0" distL="114300" distR="114300" simplePos="0" relativeHeight="251659264" behindDoc="0" locked="0" layoutInCell="1" allowOverlap="1" wp14:anchorId="72BCAF64" wp14:editId="4BA18018">
              <wp:simplePos x="0" y="0"/>
              <wp:positionH relativeFrom="margin">
                <wp:posOffset>490220</wp:posOffset>
              </wp:positionH>
              <wp:positionV relativeFrom="paragraph">
                <wp:posOffset>502286</wp:posOffset>
              </wp:positionV>
              <wp:extent cx="4800600" cy="19050"/>
              <wp:effectExtent l="19050" t="19050" r="19050" b="19050"/>
              <wp:wrapNone/>
              <wp:docPr id="2" name="Connecteur droit 2"/>
              <wp:cNvGraphicFramePr/>
              <a:graphic xmlns:a="http://schemas.openxmlformats.org/drawingml/2006/main">
                <a:graphicData uri="http://schemas.microsoft.com/office/word/2010/wordprocessingShape">
                  <wps:wsp>
                    <wps:cNvCnPr/>
                    <wps:spPr>
                      <a:xfrm flipV="1">
                        <a:off x="0" y="0"/>
                        <a:ext cx="4800600" cy="19050"/>
                      </a:xfrm>
                      <a:prstGeom prst="line">
                        <a:avLst/>
                      </a:prstGeom>
                      <a:ln w="28575">
                        <a:solidFill>
                          <a:srgbClr val="0033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412C39E" id="Connecteur droit 2"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8.6pt,39.55pt" to="416.6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" strokecolor="#039" strokeweight="2.25pt">
              <w10:wrap anchorx="margin"/>
            </v:line>
          </w:pict>
        </mc:Fallback>
      </mc:AlternateContent>
    </w:r>
    <w:r w:rsidRPr="00FB7677">
      <w:rPr>
        <w:noProof/>
        <w:color w:val="003399"/>
        <w:sz w:val="24"/>
        <w:szCs w:val="24"/>
        <w:lang w:eastAsia="fr-FR"/>
      </w:rPr>
      <w:drawing>
        <wp:anchor distT="0" distB="0" distL="114300" distR="114300" simplePos="0" relativeHeight="251658240" behindDoc="0" locked="0" layoutInCell="1" allowOverlap="1" wp14:anchorId="0DBC00CC" wp14:editId="0077510E">
          <wp:simplePos x="0" y="0"/>
          <wp:positionH relativeFrom="margin">
            <wp:posOffset>409575</wp:posOffset>
          </wp:positionH>
          <wp:positionV relativeFrom="paragraph">
            <wp:posOffset>-382270</wp:posOffset>
          </wp:positionV>
          <wp:extent cx="4939665" cy="84645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FB_Circulaire.jpg"/>
                  <pic:cNvPicPr/>
                </pic:nvPicPr>
                <pic:blipFill>
                  <a:blip r:embed="rId1">
                    <a:extLst>
                      <a:ext uri="{28A0092B-C50C-407E-A947-70E740481C1C}">
                        <a14:useLocalDpi xmlns:a14="http://schemas.microsoft.com/office/drawing/2010/main" val="0"/>
                      </a:ext>
                    </a:extLst>
                  </a:blip>
                  <a:stretch>
                    <a:fillRect/>
                  </a:stretch>
                </pic:blipFill>
                <pic:spPr>
                  <a:xfrm>
                    <a:off x="0" y="0"/>
                    <a:ext cx="4939665" cy="84645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ABA39" w14:textId="77777777" w:rsidR="00F516A2" w:rsidRDefault="00F516A2">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00B"/>
    <w:rsid w:val="00065CBA"/>
    <w:rsid w:val="00145BE2"/>
    <w:rsid w:val="00421C65"/>
    <w:rsid w:val="00524B61"/>
    <w:rsid w:val="005D1625"/>
    <w:rsid w:val="007A5536"/>
    <w:rsid w:val="009778BB"/>
    <w:rsid w:val="00A309CD"/>
    <w:rsid w:val="00B0672B"/>
    <w:rsid w:val="00B92040"/>
    <w:rsid w:val="00CC200B"/>
    <w:rsid w:val="00D52E7B"/>
    <w:rsid w:val="00E95221"/>
    <w:rsid w:val="00F516A2"/>
    <w:rsid w:val="00FB7677"/>
    <w:rsid w:val="00FE79C6"/>
    <w:rsid w:val="00FF73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D936ED"/>
  <w15:chartTrackingRefBased/>
  <w15:docId w15:val="{EDF27E6A-8F6B-4CF0-80A7-19D015136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C200B"/>
    <w:pPr>
      <w:tabs>
        <w:tab w:val="center" w:pos="4536"/>
        <w:tab w:val="right" w:pos="9072"/>
      </w:tabs>
    </w:pPr>
  </w:style>
  <w:style w:type="character" w:customStyle="1" w:styleId="En-tteCar">
    <w:name w:val="En-tête Car"/>
    <w:basedOn w:val="Policepardfaut"/>
    <w:link w:val="En-tte"/>
    <w:uiPriority w:val="99"/>
    <w:rsid w:val="00CC200B"/>
  </w:style>
  <w:style w:type="paragraph" w:styleId="Pieddepage">
    <w:name w:val="footer"/>
    <w:basedOn w:val="Normal"/>
    <w:link w:val="PieddepageCar"/>
    <w:uiPriority w:val="99"/>
    <w:unhideWhenUsed/>
    <w:rsid w:val="00CC200B"/>
    <w:pPr>
      <w:tabs>
        <w:tab w:val="center" w:pos="4536"/>
        <w:tab w:val="right" w:pos="9072"/>
      </w:tabs>
    </w:pPr>
  </w:style>
  <w:style w:type="character" w:customStyle="1" w:styleId="PieddepageCar">
    <w:name w:val="Pied de page Car"/>
    <w:basedOn w:val="Policepardfaut"/>
    <w:link w:val="Pieddepage"/>
    <w:uiPriority w:val="99"/>
    <w:rsid w:val="00CC200B"/>
  </w:style>
  <w:style w:type="character" w:styleId="Lienhypertexte">
    <w:name w:val="Hyperlink"/>
    <w:uiPriority w:val="99"/>
    <w:rsid w:val="00CC200B"/>
    <w:rPr>
      <w:b/>
      <w:bCs/>
      <w:strike w:val="0"/>
      <w:dstrike w:val="0"/>
      <w:color w:val="0257B2"/>
      <w:u w:val="none"/>
      <w:effect w:val="none"/>
    </w:rPr>
  </w:style>
  <w:style w:type="paragraph" w:styleId="Textedebulles">
    <w:name w:val="Balloon Text"/>
    <w:basedOn w:val="Normal"/>
    <w:link w:val="TextedebullesCar"/>
    <w:uiPriority w:val="99"/>
    <w:semiHidden/>
    <w:unhideWhenUsed/>
    <w:rsid w:val="00065CBA"/>
    <w:rPr>
      <w:rFonts w:ascii="Segoe UI" w:hAnsi="Segoe UI" w:cs="Segoe UI"/>
      <w:sz w:val="18"/>
      <w:szCs w:val="18"/>
    </w:rPr>
  </w:style>
  <w:style w:type="character" w:customStyle="1" w:styleId="TextedebullesCar">
    <w:name w:val="Texte de bulles Car"/>
    <w:basedOn w:val="Policepardfaut"/>
    <w:link w:val="Textedebulles"/>
    <w:uiPriority w:val="99"/>
    <w:semiHidden/>
    <w:rsid w:val="00065C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grandparis.ffbatiment.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363</Words>
  <Characters>1997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Cécile PONT</dc:creator>
  <cp:keywords/>
  <dc:description/>
  <cp:lastModifiedBy>Cécile PONT</cp:lastModifiedBy>
  <cp:revision>4</cp:revision>
  <cp:lastPrinted>2020-03-16T14:51:00Z</cp:lastPrinted>
  <dcterms:created xsi:type="dcterms:W3CDTF">2020-03-16T14:51:00Z</dcterms:created>
  <dcterms:modified xsi:type="dcterms:W3CDTF">2020-03-19T18:39:00Z</dcterms:modified>
</cp:coreProperties>
</file>