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E2" w:rsidRPr="001B6FBF" w:rsidRDefault="00B0672B" w:rsidP="001B6FBF">
      <w:pPr>
        <w:jc w:val="right"/>
        <w:rPr>
          <w:b/>
          <w:color w:val="1F497D" w:themeColor="text2"/>
          <w:sz w:val="24"/>
          <w:szCs w:val="24"/>
        </w:rPr>
      </w:pPr>
      <w:r w:rsidRPr="001B6FBF">
        <w:rPr>
          <w:b/>
          <w:color w:val="1F497D" w:themeColor="text2"/>
          <w:sz w:val="24"/>
          <w:szCs w:val="24"/>
        </w:rPr>
        <w:t>DA</w:t>
      </w:r>
      <w:r w:rsidR="00DA3632" w:rsidRPr="001B6FBF">
        <w:rPr>
          <w:b/>
          <w:color w:val="1F497D" w:themeColor="text2"/>
          <w:sz w:val="24"/>
          <w:szCs w:val="24"/>
        </w:rPr>
        <w:t>EJ</w:t>
      </w:r>
      <w:r w:rsidRPr="001B6FBF">
        <w:rPr>
          <w:b/>
          <w:color w:val="1F497D" w:themeColor="text2"/>
          <w:sz w:val="24"/>
          <w:szCs w:val="24"/>
        </w:rPr>
        <w:t xml:space="preserve"> n°</w:t>
      </w:r>
      <w:r w:rsidR="001B6FBF" w:rsidRPr="001B6FBF">
        <w:rPr>
          <w:b/>
          <w:color w:val="1F497D" w:themeColor="text2"/>
          <w:sz w:val="24"/>
          <w:szCs w:val="24"/>
        </w:rPr>
        <w:t>62</w:t>
      </w:r>
    </w:p>
    <w:p w:rsidR="00B0672B" w:rsidRPr="001B6FBF" w:rsidRDefault="004725E2" w:rsidP="001B6FBF">
      <w:pPr>
        <w:jc w:val="right"/>
        <w:rPr>
          <w:b/>
          <w:color w:val="1F497D" w:themeColor="text2"/>
          <w:sz w:val="24"/>
          <w:szCs w:val="24"/>
        </w:rPr>
      </w:pPr>
      <w:r w:rsidRPr="001B6FBF">
        <w:rPr>
          <w:b/>
          <w:color w:val="1F497D" w:themeColor="text2"/>
          <w:sz w:val="24"/>
          <w:szCs w:val="24"/>
        </w:rPr>
        <w:t>D</w:t>
      </w:r>
      <w:r w:rsidR="00B0672B" w:rsidRPr="001B6FBF">
        <w:rPr>
          <w:b/>
          <w:color w:val="1F497D" w:themeColor="text2"/>
          <w:sz w:val="24"/>
          <w:szCs w:val="24"/>
        </w:rPr>
        <w:t>u</w:t>
      </w:r>
      <w:r w:rsidR="00400F68" w:rsidRPr="001B6FBF">
        <w:rPr>
          <w:b/>
          <w:color w:val="1F497D" w:themeColor="text2"/>
          <w:sz w:val="24"/>
          <w:szCs w:val="24"/>
        </w:rPr>
        <w:t xml:space="preserve"> </w:t>
      </w:r>
      <w:r w:rsidR="001B6FBF" w:rsidRPr="001B6FBF">
        <w:rPr>
          <w:b/>
          <w:color w:val="1F497D" w:themeColor="text2"/>
          <w:sz w:val="24"/>
          <w:szCs w:val="24"/>
        </w:rPr>
        <w:t>25</w:t>
      </w:r>
      <w:r w:rsidR="00400F68" w:rsidRPr="001B6FBF">
        <w:rPr>
          <w:b/>
          <w:color w:val="1F497D" w:themeColor="text2"/>
          <w:sz w:val="24"/>
          <w:szCs w:val="24"/>
        </w:rPr>
        <w:t xml:space="preserve"> </w:t>
      </w:r>
      <w:r w:rsidR="00CC3F44" w:rsidRPr="001B6FBF">
        <w:rPr>
          <w:b/>
          <w:color w:val="1F497D" w:themeColor="text2"/>
          <w:sz w:val="24"/>
          <w:szCs w:val="24"/>
        </w:rPr>
        <w:t>mars</w:t>
      </w:r>
      <w:r w:rsidR="000C0299" w:rsidRPr="001B6FBF">
        <w:rPr>
          <w:b/>
          <w:color w:val="1F497D" w:themeColor="text2"/>
          <w:sz w:val="24"/>
          <w:szCs w:val="24"/>
        </w:rPr>
        <w:t xml:space="preserve"> 2020</w:t>
      </w:r>
    </w:p>
    <w:p w:rsidR="00C41A9A" w:rsidRDefault="00C41A9A" w:rsidP="001B6FBF"/>
    <w:p w:rsidR="001B6FBF" w:rsidRPr="001B6FBF" w:rsidRDefault="001B6FBF" w:rsidP="001B6FBF"/>
    <w:p w:rsidR="00C41A9A" w:rsidRPr="001B6FBF" w:rsidRDefault="00C41A9A" w:rsidP="001B6FBF"/>
    <w:p w:rsidR="00154D6C" w:rsidRPr="008F3DF6" w:rsidRDefault="0013418C" w:rsidP="001B6FBF">
      <w:pPr>
        <w:jc w:val="center"/>
        <w:rPr>
          <w:rFonts w:eastAsia="Times New Roman"/>
          <w:b/>
          <w:sz w:val="28"/>
          <w:szCs w:val="28"/>
        </w:rPr>
      </w:pPr>
      <w:r w:rsidRPr="008F3DF6">
        <w:rPr>
          <w:rFonts w:eastAsia="Times New Roman"/>
          <w:b/>
          <w:sz w:val="28"/>
          <w:szCs w:val="28"/>
        </w:rPr>
        <w:t xml:space="preserve">L’impact du COVID 19 sur les certificats d’économie d’énergie </w:t>
      </w:r>
    </w:p>
    <w:p w:rsidR="0013418C" w:rsidRDefault="0013418C" w:rsidP="001B6FBF">
      <w:pPr>
        <w:jc w:val="both"/>
        <w:rPr>
          <w:b/>
          <w:color w:val="4F81BD" w:themeColor="accent1"/>
          <w:u w:val="single"/>
        </w:rPr>
      </w:pPr>
    </w:p>
    <w:p w:rsidR="001B6FBF" w:rsidRPr="001B6FBF" w:rsidRDefault="001B6FBF" w:rsidP="001B6FBF">
      <w:pPr>
        <w:jc w:val="both"/>
        <w:rPr>
          <w:b/>
          <w:color w:val="4F81BD" w:themeColor="accent1"/>
          <w:u w:val="single"/>
        </w:rPr>
      </w:pPr>
    </w:p>
    <w:p w:rsidR="00ED5463" w:rsidRPr="001B6FBF" w:rsidRDefault="0066311A" w:rsidP="001B6FBF">
      <w:pPr>
        <w:jc w:val="both"/>
        <w:rPr>
          <w:b/>
          <w:color w:val="4F81BD" w:themeColor="accent1"/>
          <w:u w:val="single"/>
        </w:rPr>
      </w:pPr>
      <w:r w:rsidRPr="001B6FBF">
        <w:rPr>
          <w:b/>
          <w:color w:val="4F81BD" w:themeColor="accent1"/>
          <w:u w:val="single"/>
        </w:rPr>
        <w:t>Le fonctionnement des partenariats PRIM’3E pendant le confinement</w:t>
      </w:r>
    </w:p>
    <w:p w:rsidR="00ED5463" w:rsidRDefault="00ED5463" w:rsidP="001B6FBF">
      <w:pPr>
        <w:jc w:val="both"/>
        <w:rPr>
          <w:color w:val="000000" w:themeColor="text1"/>
        </w:rPr>
      </w:pPr>
      <w:bookmarkStart w:id="0" w:name="_GoBack"/>
      <w:r w:rsidRPr="001B6FBF">
        <w:rPr>
          <w:color w:val="000000" w:themeColor="text1"/>
        </w:rPr>
        <w:t>L’</w:t>
      </w:r>
      <w:r w:rsidR="00427CDB" w:rsidRPr="001B6FBF">
        <w:rPr>
          <w:color w:val="000000" w:themeColor="text1"/>
        </w:rPr>
        <w:t>offre PRIM</w:t>
      </w:r>
      <w:r w:rsidRPr="001B6FBF">
        <w:rPr>
          <w:color w:val="000000" w:themeColor="text1"/>
        </w:rPr>
        <w:t xml:space="preserve">’3E mise en place par PROM UCF </w:t>
      </w:r>
      <w:r w:rsidR="00427CDB" w:rsidRPr="001B6FBF">
        <w:rPr>
          <w:color w:val="000000" w:themeColor="text1"/>
        </w:rPr>
        <w:t>permet d’accompagner les entrepreneurs et artisans adhérent</w:t>
      </w:r>
      <w:r w:rsidRPr="001B6FBF">
        <w:rPr>
          <w:color w:val="000000" w:themeColor="text1"/>
        </w:rPr>
        <w:t xml:space="preserve">s à la FFB </w:t>
      </w:r>
      <w:r w:rsidR="00427CDB" w:rsidRPr="001B6FBF">
        <w:rPr>
          <w:color w:val="000000" w:themeColor="text1"/>
        </w:rPr>
        <w:t xml:space="preserve">dans le montage de leur </w:t>
      </w:r>
      <w:r w:rsidR="0066311A" w:rsidRPr="001B6FBF">
        <w:rPr>
          <w:color w:val="000000" w:themeColor="text1"/>
        </w:rPr>
        <w:t xml:space="preserve">dossier CEE et leur propose d’intéressants </w:t>
      </w:r>
      <w:r w:rsidR="00427CDB" w:rsidRPr="001B6FBF">
        <w:rPr>
          <w:color w:val="000000" w:themeColor="text1"/>
        </w:rPr>
        <w:t>partenariats ave</w:t>
      </w:r>
      <w:r w:rsidR="0066311A" w:rsidRPr="001B6FBF">
        <w:rPr>
          <w:color w:val="000000" w:themeColor="text1"/>
        </w:rPr>
        <w:t>c</w:t>
      </w:r>
      <w:r w:rsidR="0039463B" w:rsidRPr="001B6FBF">
        <w:rPr>
          <w:color w:val="000000" w:themeColor="text1"/>
        </w:rPr>
        <w:t xml:space="preserve"> trois fournisseurs d’énergie à </w:t>
      </w:r>
      <w:r w:rsidR="0066311A" w:rsidRPr="001B6FBF">
        <w:rPr>
          <w:color w:val="000000" w:themeColor="text1"/>
        </w:rPr>
        <w:t>savoir,</w:t>
      </w:r>
      <w:r w:rsidR="00427CDB" w:rsidRPr="001B6FBF">
        <w:rPr>
          <w:color w:val="000000" w:themeColor="text1"/>
        </w:rPr>
        <w:t xml:space="preserve"> TOTAL MS, SONERGIA et EDF.</w:t>
      </w:r>
    </w:p>
    <w:bookmarkEnd w:id="0"/>
    <w:p w:rsidR="001B6FBF" w:rsidRPr="001B6FBF" w:rsidRDefault="001B6FBF" w:rsidP="001B6FBF">
      <w:pPr>
        <w:jc w:val="both"/>
        <w:rPr>
          <w:color w:val="000000" w:themeColor="text1"/>
        </w:rPr>
      </w:pPr>
    </w:p>
    <w:p w:rsidR="003A0589" w:rsidRPr="001B6FBF" w:rsidRDefault="00427CDB" w:rsidP="001B6FBF">
      <w:pPr>
        <w:jc w:val="both"/>
        <w:rPr>
          <w:color w:val="000000" w:themeColor="text1"/>
        </w:rPr>
      </w:pPr>
      <w:r w:rsidRPr="001B6FBF">
        <w:rPr>
          <w:color w:val="000000" w:themeColor="text1"/>
        </w:rPr>
        <w:t>Afin d’assurer la continuité de leur</w:t>
      </w:r>
      <w:r w:rsidR="00356A64" w:rsidRPr="001B6FBF">
        <w:rPr>
          <w:color w:val="000000" w:themeColor="text1"/>
        </w:rPr>
        <w:t>s</w:t>
      </w:r>
      <w:r w:rsidRPr="001B6FBF">
        <w:rPr>
          <w:color w:val="000000" w:themeColor="text1"/>
        </w:rPr>
        <w:t xml:space="preserve"> services</w:t>
      </w:r>
      <w:r w:rsidR="00356A64" w:rsidRPr="001B6FBF">
        <w:rPr>
          <w:color w:val="000000" w:themeColor="text1"/>
        </w:rPr>
        <w:t xml:space="preserve"> et l’instruction des dossiers</w:t>
      </w:r>
      <w:r w:rsidR="0039504C" w:rsidRPr="001B6FBF">
        <w:rPr>
          <w:color w:val="000000" w:themeColor="text1"/>
        </w:rPr>
        <w:t xml:space="preserve"> et </w:t>
      </w:r>
      <w:r w:rsidR="003A0589" w:rsidRPr="001B6FBF">
        <w:rPr>
          <w:color w:val="000000" w:themeColor="text1"/>
        </w:rPr>
        <w:t>règlements</w:t>
      </w:r>
      <w:r w:rsidR="00356A64" w:rsidRPr="001B6FBF">
        <w:rPr>
          <w:color w:val="000000" w:themeColor="text1"/>
        </w:rPr>
        <w:t xml:space="preserve"> pendant le confinement</w:t>
      </w:r>
      <w:r w:rsidRPr="001B6FBF">
        <w:rPr>
          <w:color w:val="000000" w:themeColor="text1"/>
        </w:rPr>
        <w:t xml:space="preserve">, les trois partenaires PRIM’3E </w:t>
      </w:r>
      <w:r w:rsidR="003A0589" w:rsidRPr="001B6FBF">
        <w:rPr>
          <w:color w:val="000000" w:themeColor="text1"/>
        </w:rPr>
        <w:t>ont adapté leur organisation.</w:t>
      </w:r>
    </w:p>
    <w:p w:rsidR="003A0589" w:rsidRPr="001B6FBF" w:rsidRDefault="003A0589" w:rsidP="001B6FBF">
      <w:pPr>
        <w:jc w:val="both"/>
        <w:rPr>
          <w:color w:val="000000" w:themeColor="text1"/>
        </w:rPr>
      </w:pPr>
      <w:r w:rsidRPr="001B6FBF">
        <w:rPr>
          <w:color w:val="000000" w:themeColor="text1"/>
        </w:rPr>
        <w:t xml:space="preserve">TOTAL et EDF ont interrompu leur accueil téléphonique et invitent les entreprises à les contacter par mail via l’adresse : </w:t>
      </w:r>
    </w:p>
    <w:p w:rsidR="003A0589" w:rsidRPr="001B6FBF" w:rsidRDefault="003A0589" w:rsidP="001B6FBF">
      <w:pPr>
        <w:jc w:val="both"/>
        <w:rPr>
          <w:color w:val="000000" w:themeColor="text1"/>
        </w:rPr>
      </w:pPr>
      <w:r w:rsidRPr="001B6FBF">
        <w:rPr>
          <w:color w:val="000000" w:themeColor="text1"/>
        </w:rPr>
        <w:t xml:space="preserve">- TOTAL : </w:t>
      </w:r>
      <w:hyperlink r:id="rId8" w:history="1">
        <w:r w:rsidRPr="001B6FBF">
          <w:rPr>
            <w:rStyle w:val="Lienhypertexte"/>
          </w:rPr>
          <w:t>cee-total-promucf@economiedenergie.fr</w:t>
        </w:r>
      </w:hyperlink>
    </w:p>
    <w:p w:rsidR="003A0589" w:rsidRPr="001B6FBF" w:rsidRDefault="0039504C" w:rsidP="001B6FBF">
      <w:pPr>
        <w:jc w:val="both"/>
        <w:rPr>
          <w:color w:val="000000" w:themeColor="text1"/>
        </w:rPr>
      </w:pPr>
      <w:r w:rsidRPr="001B6FBF">
        <w:rPr>
          <w:color w:val="000000" w:themeColor="text1"/>
        </w:rPr>
        <w:t xml:space="preserve">- </w:t>
      </w:r>
      <w:r w:rsidR="003A0589" w:rsidRPr="001B6FBF">
        <w:rPr>
          <w:color w:val="000000" w:themeColor="text1"/>
        </w:rPr>
        <w:t xml:space="preserve">EDF : </w:t>
      </w:r>
      <w:hyperlink r:id="rId9" w:history="1">
        <w:r w:rsidR="003A0589" w:rsidRPr="001B6FBF">
          <w:rPr>
            <w:rStyle w:val="Lienhypertexte"/>
          </w:rPr>
          <w:t>info-prime-energie-edf@economiedenergie.fr</w:t>
        </w:r>
      </w:hyperlink>
    </w:p>
    <w:p w:rsidR="001B6FBF" w:rsidRDefault="001B6FBF" w:rsidP="001B6FBF">
      <w:pPr>
        <w:jc w:val="both"/>
        <w:rPr>
          <w:color w:val="000000" w:themeColor="text1"/>
        </w:rPr>
      </w:pPr>
    </w:p>
    <w:p w:rsidR="0013418C" w:rsidRPr="001B6FBF" w:rsidRDefault="003A0589" w:rsidP="001B6FBF">
      <w:pPr>
        <w:jc w:val="both"/>
        <w:rPr>
          <w:color w:val="000000" w:themeColor="text1"/>
        </w:rPr>
      </w:pPr>
      <w:r w:rsidRPr="001B6FBF">
        <w:rPr>
          <w:color w:val="000000" w:themeColor="text1"/>
        </w:rPr>
        <w:t xml:space="preserve">SONERGIA reste joignable au 04 28 70 18 56 du lundi au vendredi de 9h à 17h et par mail </w:t>
      </w:r>
      <w:r w:rsidR="00E9019F" w:rsidRPr="001B6FBF">
        <w:rPr>
          <w:color w:val="000000" w:themeColor="text1"/>
        </w:rPr>
        <w:t xml:space="preserve">via l’adresse </w:t>
      </w:r>
      <w:hyperlink r:id="rId10" w:history="1">
        <w:r w:rsidRPr="001B6FBF">
          <w:rPr>
            <w:rStyle w:val="Lienhypertexte"/>
          </w:rPr>
          <w:t>contact@sonergia.com</w:t>
        </w:r>
      </w:hyperlink>
      <w:r w:rsidR="00E9019F" w:rsidRPr="001B6FBF">
        <w:rPr>
          <w:color w:val="000000" w:themeColor="text1"/>
        </w:rPr>
        <w:t xml:space="preserve">. Pour toute demande de primes CEE, les entreprises sont enjointes à envoyer leur dossier et leur Attestation sur l’Honneur par </w:t>
      </w:r>
      <w:proofErr w:type="spellStart"/>
      <w:r w:rsidR="00E9019F" w:rsidRPr="001B6FBF">
        <w:rPr>
          <w:color w:val="000000" w:themeColor="text1"/>
        </w:rPr>
        <w:t>We</w:t>
      </w:r>
      <w:proofErr w:type="spellEnd"/>
      <w:r w:rsidR="00E9019F" w:rsidRPr="001B6FBF">
        <w:rPr>
          <w:color w:val="000000" w:themeColor="text1"/>
        </w:rPr>
        <w:t xml:space="preserve"> </w:t>
      </w:r>
      <w:proofErr w:type="spellStart"/>
      <w:r w:rsidR="00E9019F" w:rsidRPr="001B6FBF">
        <w:rPr>
          <w:color w:val="000000" w:themeColor="text1"/>
        </w:rPr>
        <w:t>transfer</w:t>
      </w:r>
      <w:proofErr w:type="spellEnd"/>
      <w:r w:rsidR="00E9019F" w:rsidRPr="001B6FBF">
        <w:rPr>
          <w:color w:val="000000" w:themeColor="text1"/>
        </w:rPr>
        <w:t xml:space="preserve"> </w:t>
      </w:r>
      <w:proofErr w:type="spellStart"/>
      <w:r w:rsidR="00E9019F" w:rsidRPr="001B6FBF">
        <w:rPr>
          <w:color w:val="000000" w:themeColor="text1"/>
        </w:rPr>
        <w:t>Sonergia</w:t>
      </w:r>
      <w:proofErr w:type="spellEnd"/>
      <w:r w:rsidR="00E9019F" w:rsidRPr="001B6FBF">
        <w:rPr>
          <w:color w:val="000000" w:themeColor="text1"/>
        </w:rPr>
        <w:t>.</w:t>
      </w:r>
    </w:p>
    <w:p w:rsidR="0013418C" w:rsidRPr="001B6FBF" w:rsidRDefault="00E9019F" w:rsidP="001B6FBF">
      <w:pPr>
        <w:jc w:val="both"/>
        <w:rPr>
          <w:rFonts w:eastAsia="Times New Roman"/>
          <w:b/>
          <w:sz w:val="32"/>
          <w:szCs w:val="32"/>
        </w:rPr>
      </w:pPr>
      <w:r w:rsidRPr="001B6FBF">
        <w:rPr>
          <w:color w:val="000000" w:themeColor="text1"/>
        </w:rPr>
        <w:t>Pour obtenir davantage d’informations</w:t>
      </w:r>
      <w:r w:rsidR="0066311A" w:rsidRPr="001B6FBF">
        <w:rPr>
          <w:color w:val="000000" w:themeColor="text1"/>
        </w:rPr>
        <w:t xml:space="preserve"> sur la poursuite des services de SONERGIA</w:t>
      </w:r>
      <w:r w:rsidRPr="001B6FBF">
        <w:rPr>
          <w:color w:val="000000" w:themeColor="text1"/>
        </w:rPr>
        <w:t xml:space="preserve">, </w:t>
      </w:r>
      <w:hyperlink r:id="rId11" w:history="1">
        <w:r w:rsidRPr="001B6FBF">
          <w:rPr>
            <w:rStyle w:val="Lienhypertexte"/>
          </w:rPr>
          <w:t>cliquez ici.</w:t>
        </w:r>
      </w:hyperlink>
      <w:r w:rsidR="0013418C" w:rsidRPr="001B6FBF">
        <w:rPr>
          <w:rFonts w:eastAsia="Times New Roman"/>
          <w:b/>
          <w:sz w:val="32"/>
          <w:szCs w:val="32"/>
        </w:rPr>
        <w:t xml:space="preserve"> </w:t>
      </w:r>
    </w:p>
    <w:p w:rsidR="0013418C" w:rsidRDefault="0013418C" w:rsidP="001B6FBF">
      <w:pPr>
        <w:jc w:val="both"/>
        <w:rPr>
          <w:rFonts w:eastAsia="Times New Roman"/>
          <w:b/>
        </w:rPr>
      </w:pPr>
    </w:p>
    <w:p w:rsidR="001B6FBF" w:rsidRPr="001B6FBF" w:rsidRDefault="001B6FBF" w:rsidP="001B6FBF">
      <w:pPr>
        <w:jc w:val="both"/>
        <w:rPr>
          <w:rFonts w:eastAsia="Times New Roman"/>
          <w:b/>
        </w:rPr>
      </w:pPr>
    </w:p>
    <w:p w:rsidR="0013418C" w:rsidRPr="001B6FBF" w:rsidRDefault="0013418C" w:rsidP="001B6FBF">
      <w:pPr>
        <w:jc w:val="both"/>
        <w:rPr>
          <w:b/>
          <w:color w:val="4F81BD" w:themeColor="accent1"/>
          <w:u w:val="single"/>
        </w:rPr>
      </w:pPr>
      <w:r w:rsidRPr="001B6FBF">
        <w:rPr>
          <w:b/>
          <w:color w:val="4F81BD" w:themeColor="accent1"/>
          <w:u w:val="single"/>
        </w:rPr>
        <w:t xml:space="preserve">Texte sur l’évolution du dispositif des certificats d’économies d’énergie : de nouveaux </w:t>
      </w:r>
      <w:proofErr w:type="gramStart"/>
      <w:r w:rsidRPr="001B6FBF">
        <w:rPr>
          <w:b/>
          <w:color w:val="4F81BD" w:themeColor="accent1"/>
          <w:u w:val="single"/>
        </w:rPr>
        <w:t>ajustements</w:t>
      </w:r>
      <w:proofErr w:type="gramEnd"/>
      <w:r w:rsidRPr="001B6FBF">
        <w:rPr>
          <w:b/>
          <w:color w:val="4F81BD" w:themeColor="accent1"/>
          <w:u w:val="single"/>
        </w:rPr>
        <w:t xml:space="preserve"> en cours de discussion </w:t>
      </w:r>
    </w:p>
    <w:p w:rsidR="0013418C" w:rsidRPr="001B6FBF" w:rsidRDefault="0013418C" w:rsidP="001B6FBF">
      <w:pPr>
        <w:jc w:val="both"/>
      </w:pPr>
      <w:r w:rsidRPr="001B6FBF">
        <w:t xml:space="preserve">Face à la crise sanitaire du </w:t>
      </w:r>
      <w:proofErr w:type="spellStart"/>
      <w:r w:rsidRPr="001B6FBF">
        <w:t>Covid</w:t>
      </w:r>
      <w:proofErr w:type="spellEnd"/>
      <w:r w:rsidRPr="001B6FBF">
        <w:t xml:space="preserve"> 19 et au ralentissement de l’activité du bâtiment qu’elle entraine, le projet de texte concernant l’évolution du dispositif des certificats d'économies d'énergie devrait être modifié.</w:t>
      </w:r>
    </w:p>
    <w:p w:rsidR="0013418C" w:rsidRPr="001B6FBF" w:rsidRDefault="0013418C" w:rsidP="001B6FBF">
      <w:pPr>
        <w:jc w:val="both"/>
      </w:pPr>
    </w:p>
    <w:p w:rsidR="0013418C" w:rsidRPr="001B6FBF" w:rsidRDefault="0013418C" w:rsidP="001B6FBF">
      <w:pPr>
        <w:jc w:val="both"/>
      </w:pPr>
      <w:r w:rsidRPr="001B6FBF">
        <w:t>Les quatre mesures suivantes sont actuellement en cours de validation :</w:t>
      </w:r>
    </w:p>
    <w:p w:rsidR="007658FB" w:rsidRPr="001B6FBF" w:rsidRDefault="0013418C" w:rsidP="001B6FBF">
      <w:pPr>
        <w:pStyle w:val="Paragraphedeliste"/>
        <w:numPr>
          <w:ilvl w:val="0"/>
          <w:numId w:val="2"/>
        </w:numPr>
        <w:spacing w:after="0" w:line="240" w:lineRule="auto"/>
        <w:jc w:val="both"/>
        <w:rPr>
          <w:rFonts w:ascii="Arial" w:hAnsi="Arial" w:cs="Arial"/>
        </w:rPr>
      </w:pPr>
      <w:r w:rsidRPr="001B6FBF">
        <w:rPr>
          <w:rFonts w:ascii="Arial" w:hAnsi="Arial" w:cs="Arial"/>
        </w:rPr>
        <w:t xml:space="preserve">Maintien de la diminution des forfaits et primes en septembre 2020 mais annulation de la seconde diminution initialement planifiée en janvier 2021. </w:t>
      </w:r>
    </w:p>
    <w:p w:rsidR="0013418C" w:rsidRPr="001B6FBF" w:rsidRDefault="0013418C" w:rsidP="001B6FBF">
      <w:pPr>
        <w:pStyle w:val="Paragraphedeliste"/>
        <w:numPr>
          <w:ilvl w:val="0"/>
          <w:numId w:val="2"/>
        </w:numPr>
        <w:spacing w:after="0" w:line="240" w:lineRule="auto"/>
        <w:jc w:val="both"/>
        <w:rPr>
          <w:rFonts w:ascii="Arial" w:hAnsi="Arial" w:cs="Arial"/>
        </w:rPr>
      </w:pPr>
      <w:r w:rsidRPr="001B6FBF">
        <w:rPr>
          <w:rFonts w:ascii="Arial" w:hAnsi="Arial" w:cs="Arial"/>
        </w:rPr>
        <w:t>Maintien de l’entrée en vigueur au 1er septembre 2021 des mesures liées à la lutte contre la fraude et les malfaçons. (Actions d’information pour le consommateur / augmentation des taux de contrôles / délai de 7 jours entre acceptation de devis et début des travaux.</w:t>
      </w:r>
      <w:r w:rsidR="007658FB" w:rsidRPr="001B6FBF">
        <w:rPr>
          <w:rFonts w:ascii="Arial" w:hAnsi="Arial" w:cs="Arial"/>
        </w:rPr>
        <w:t>)</w:t>
      </w:r>
    </w:p>
    <w:p w:rsidR="0013418C" w:rsidRPr="001B6FBF" w:rsidRDefault="0013418C" w:rsidP="001B6FBF">
      <w:pPr>
        <w:pStyle w:val="Paragraphedeliste"/>
        <w:numPr>
          <w:ilvl w:val="0"/>
          <w:numId w:val="2"/>
        </w:numPr>
        <w:spacing w:after="0" w:line="240" w:lineRule="auto"/>
        <w:jc w:val="both"/>
        <w:rPr>
          <w:rFonts w:ascii="Arial" w:hAnsi="Arial" w:cs="Arial"/>
        </w:rPr>
      </w:pPr>
      <w:r w:rsidRPr="001B6FBF">
        <w:rPr>
          <w:rFonts w:ascii="Arial" w:hAnsi="Arial" w:cs="Arial"/>
        </w:rPr>
        <w:t>Allongement de 6 mois supplémentaires du délai de dépôt de la demande des certificats d’économie d’énergie pour les opérations d’économies d’énergie réalisées entre le 1er mars 2019 et le 30 juin 2020 faisant passer le délai maximum de 12 à 18 mois.</w:t>
      </w:r>
    </w:p>
    <w:p w:rsidR="0013418C" w:rsidRPr="001B6FBF" w:rsidRDefault="0013418C" w:rsidP="001B6FBF">
      <w:pPr>
        <w:pStyle w:val="Paragraphedeliste"/>
        <w:numPr>
          <w:ilvl w:val="0"/>
          <w:numId w:val="2"/>
        </w:numPr>
        <w:spacing w:after="0" w:line="240" w:lineRule="auto"/>
        <w:jc w:val="both"/>
        <w:rPr>
          <w:rFonts w:ascii="Arial" w:hAnsi="Arial" w:cs="Arial"/>
        </w:rPr>
      </w:pPr>
      <w:r w:rsidRPr="001B6FBF">
        <w:rPr>
          <w:rFonts w:ascii="Arial" w:hAnsi="Arial" w:cs="Arial"/>
        </w:rPr>
        <w:t>Prolongation sans changement du dispositif "Coup de pouce » chauffage jusqu’à fin 2021.</w:t>
      </w:r>
    </w:p>
    <w:p w:rsidR="0013418C" w:rsidRDefault="0013418C" w:rsidP="001B6FBF">
      <w:pPr>
        <w:jc w:val="both"/>
        <w:rPr>
          <w:color w:val="000000" w:themeColor="text1"/>
        </w:rPr>
      </w:pPr>
    </w:p>
    <w:p w:rsidR="00326B41" w:rsidRDefault="00326B41" w:rsidP="001B6FBF">
      <w:pPr>
        <w:jc w:val="both"/>
        <w:rPr>
          <w:color w:val="000000" w:themeColor="text1"/>
        </w:rPr>
      </w:pPr>
    </w:p>
    <w:p w:rsidR="00326B41" w:rsidRPr="001B6FBF" w:rsidRDefault="00326B41" w:rsidP="001B6FBF">
      <w:pPr>
        <w:jc w:val="both"/>
        <w:rPr>
          <w:color w:val="000000" w:themeColor="text1"/>
        </w:rPr>
      </w:pPr>
      <w:r>
        <w:rPr>
          <w:color w:val="000000" w:themeColor="text1"/>
        </w:rPr>
        <w:t>Contact : Cloé Sarrabia au 01 40 55 10 52 ou 06 77 80 07 33</w:t>
      </w:r>
    </w:p>
    <w:sectPr w:rsidR="00326B41" w:rsidRPr="001B6FBF" w:rsidSect="00AF22DE">
      <w:headerReference w:type="default" r:id="rId12"/>
      <w:footerReference w:type="default" r:id="rId13"/>
      <w:headerReference w:type="first" r:id="rId14"/>
      <w:pgSz w:w="11906" w:h="16838"/>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50" w:rsidRDefault="001B5B50" w:rsidP="00CC200B">
      <w:r>
        <w:separator/>
      </w:r>
    </w:p>
  </w:endnote>
  <w:endnote w:type="continuationSeparator" w:id="0">
    <w:p w:rsidR="001B5B50" w:rsidRDefault="001B5B50" w:rsidP="00CC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91" w:rsidRPr="003552EF" w:rsidRDefault="00EC241C" w:rsidP="00C37B91">
    <w:pPr>
      <w:pStyle w:val="Pieddepage"/>
      <w:jc w:val="right"/>
    </w:pPr>
    <w:r w:rsidRPr="003552EF">
      <w:rPr>
        <w:bCs/>
      </w:rPr>
      <w:fldChar w:fldCharType="begin"/>
    </w:r>
    <w:r w:rsidR="00C37B91" w:rsidRPr="003552EF">
      <w:rPr>
        <w:bCs/>
      </w:rPr>
      <w:instrText>PAGE</w:instrText>
    </w:r>
    <w:r w:rsidRPr="003552EF">
      <w:rPr>
        <w:bCs/>
      </w:rPr>
      <w:fldChar w:fldCharType="separate"/>
    </w:r>
    <w:r w:rsidR="0013418C">
      <w:rPr>
        <w:bCs/>
        <w:noProof/>
      </w:rPr>
      <w:t>2</w:t>
    </w:r>
    <w:r w:rsidRPr="003552EF">
      <w:rPr>
        <w:bCs/>
      </w:rPr>
      <w:fldChar w:fldCharType="end"/>
    </w:r>
    <w:r w:rsidR="00C37B91" w:rsidRPr="003552EF">
      <w:t xml:space="preserve"> / </w:t>
    </w:r>
    <w:r w:rsidRPr="003552EF">
      <w:rPr>
        <w:bCs/>
      </w:rPr>
      <w:fldChar w:fldCharType="begin"/>
    </w:r>
    <w:r w:rsidR="00C37B91" w:rsidRPr="003552EF">
      <w:rPr>
        <w:bCs/>
      </w:rPr>
      <w:instrText>NUMPAGES</w:instrText>
    </w:r>
    <w:r w:rsidRPr="003552EF">
      <w:rPr>
        <w:bCs/>
      </w:rPr>
      <w:fldChar w:fldCharType="separate"/>
    </w:r>
    <w:r w:rsidR="00EC382B">
      <w:rPr>
        <w:bCs/>
        <w:noProof/>
      </w:rPr>
      <w:t>1</w:t>
    </w:r>
    <w:r w:rsidRPr="003552EF">
      <w:rPr>
        <w:bCs/>
      </w:rPr>
      <w:fldChar w:fldCharType="end"/>
    </w:r>
  </w:p>
  <w:p w:rsidR="00C37B91" w:rsidRPr="00A73F47" w:rsidRDefault="00C37B91" w:rsidP="00C37B91">
    <w:pPr>
      <w:rPr>
        <w:b/>
        <w:bCs/>
        <w:color w:val="7F7F7F"/>
        <w:sz w:val="16"/>
        <w:szCs w:val="16"/>
      </w:rPr>
    </w:pPr>
    <w:r w:rsidRPr="00A73F47">
      <w:rPr>
        <w:b/>
        <w:bCs/>
        <w:color w:val="7F7F7F"/>
        <w:sz w:val="16"/>
        <w:szCs w:val="16"/>
      </w:rPr>
      <w:t>FFB GRAND PARIS</w:t>
    </w:r>
  </w:p>
  <w:p w:rsidR="00C37B91" w:rsidRPr="00A73F47" w:rsidRDefault="00C37B91" w:rsidP="00C37B91">
    <w:pPr>
      <w:rPr>
        <w:b/>
        <w:bCs/>
        <w:color w:val="7F7F7F"/>
        <w:sz w:val="16"/>
        <w:szCs w:val="16"/>
      </w:rPr>
    </w:pPr>
    <w:r w:rsidRPr="00A73F47">
      <w:rPr>
        <w:b/>
        <w:bCs/>
        <w:color w:val="7F7F7F"/>
        <w:sz w:val="16"/>
        <w:szCs w:val="16"/>
      </w:rPr>
      <w:t xml:space="preserve">Direction des Affaires </w:t>
    </w:r>
    <w:r w:rsidR="00932040">
      <w:rPr>
        <w:b/>
        <w:bCs/>
        <w:color w:val="7F7F7F"/>
        <w:sz w:val="16"/>
        <w:szCs w:val="16"/>
      </w:rPr>
      <w:t>Sociales</w:t>
    </w:r>
  </w:p>
  <w:p w:rsidR="00C37B91" w:rsidRPr="00A73F47" w:rsidRDefault="00C37B91" w:rsidP="00C37B91">
    <w:pPr>
      <w:rPr>
        <w:b/>
        <w:bCs/>
        <w:color w:val="7F7F7F"/>
        <w:sz w:val="16"/>
        <w:szCs w:val="16"/>
      </w:rPr>
    </w:pPr>
    <w:r w:rsidRPr="00A73F47">
      <w:rPr>
        <w:b/>
        <w:bCs/>
        <w:color w:val="7F7F7F"/>
        <w:sz w:val="16"/>
        <w:szCs w:val="16"/>
      </w:rPr>
      <w:t>10 rue du Débarcadère - 75852 PARIS Cedex 17</w:t>
    </w:r>
  </w:p>
  <w:p w:rsidR="00C37B91" w:rsidRPr="00A73F47" w:rsidRDefault="00932040" w:rsidP="00C37B91">
    <w:pPr>
      <w:rPr>
        <w:b/>
        <w:bCs/>
        <w:color w:val="7F7F7F"/>
        <w:sz w:val="16"/>
        <w:szCs w:val="16"/>
      </w:rPr>
    </w:pPr>
    <w:r>
      <w:rPr>
        <w:b/>
        <w:bCs/>
        <w:color w:val="7F7F7F"/>
        <w:sz w:val="16"/>
        <w:szCs w:val="16"/>
      </w:rPr>
      <w:t>Téléphone 01 40 55 11 10</w:t>
    </w:r>
  </w:p>
  <w:p w:rsidR="00C37B91" w:rsidRPr="00A73F47" w:rsidRDefault="00EC382B" w:rsidP="00C37B91">
    <w:pPr>
      <w:rPr>
        <w:bCs/>
        <w:color w:val="7F7F7F"/>
        <w:sz w:val="16"/>
        <w:szCs w:val="16"/>
      </w:rPr>
    </w:pPr>
    <w:hyperlink r:id="rId1" w:history="1">
      <w:r w:rsidR="00C37B91" w:rsidRPr="00A73F47">
        <w:rPr>
          <w:rStyle w:val="Lienhypertexte"/>
          <w:color w:val="7F7F7F"/>
          <w:sz w:val="16"/>
          <w:szCs w:val="16"/>
        </w:rPr>
        <w:t>www.grandparis.ffbatiment.fr</w:t>
      </w:r>
    </w:hyperlink>
  </w:p>
  <w:p w:rsidR="00C37B91" w:rsidRPr="00A73F47" w:rsidRDefault="00C37B91" w:rsidP="00C37B91">
    <w:pPr>
      <w:rPr>
        <w:b/>
        <w:bCs/>
        <w:color w:val="7F7F7F"/>
        <w:sz w:val="16"/>
        <w:szCs w:val="16"/>
      </w:rPr>
    </w:pPr>
    <w:proofErr w:type="spellStart"/>
    <w:proofErr w:type="gramStart"/>
    <w:r w:rsidRPr="00A73F47">
      <w:rPr>
        <w:b/>
        <w:bCs/>
        <w:color w:val="7F7F7F"/>
        <w:sz w:val="16"/>
        <w:szCs w:val="16"/>
      </w:rPr>
      <w:t>siret</w:t>
    </w:r>
    <w:proofErr w:type="spellEnd"/>
    <w:proofErr w:type="gramEnd"/>
    <w:r w:rsidRPr="00A73F47">
      <w:rPr>
        <w:b/>
        <w:bCs/>
        <w:color w:val="7F7F7F"/>
        <w:sz w:val="16"/>
        <w:szCs w:val="16"/>
      </w:rPr>
      <w:t> : 784 718 033 00011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50" w:rsidRDefault="001B5B50" w:rsidP="00CC200B">
      <w:r>
        <w:separator/>
      </w:r>
    </w:p>
  </w:footnote>
  <w:footnote w:type="continuationSeparator" w:id="0">
    <w:p w:rsidR="001B5B50" w:rsidRDefault="001B5B50" w:rsidP="00CC2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0B" w:rsidRPr="00FB7677" w:rsidRDefault="00CC200B" w:rsidP="00B0672B">
    <w:pPr>
      <w:pStyle w:val="En-tte"/>
      <w:tabs>
        <w:tab w:val="clear" w:pos="4536"/>
        <w:tab w:val="clear" w:pos="9072"/>
      </w:tabs>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DE" w:rsidRDefault="007B6B06">
    <w:pPr>
      <w:pStyle w:val="En-tte"/>
    </w:pPr>
    <w:r>
      <w:rPr>
        <w:noProof/>
        <w:lang w:eastAsia="fr-FR"/>
      </w:rPr>
      <mc:AlternateContent>
        <mc:Choice Requires="wps">
          <w:drawing>
            <wp:anchor distT="0" distB="0" distL="114300" distR="114300" simplePos="0" relativeHeight="251663360" behindDoc="0" locked="0" layoutInCell="1" allowOverlap="1">
              <wp:simplePos x="0" y="0"/>
              <wp:positionH relativeFrom="margin">
                <wp:posOffset>428625</wp:posOffset>
              </wp:positionH>
              <wp:positionV relativeFrom="paragraph">
                <wp:posOffset>423545</wp:posOffset>
              </wp:positionV>
              <wp:extent cx="4800600" cy="0"/>
              <wp:effectExtent l="19050" t="23495" r="19050" b="14605"/>
              <wp:wrapNone/>
              <wp:docPr id="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3EA193" id="Connecteur droit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33.35pt" to="411.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" strokecolor="#039" strokeweight="2.25pt">
              <w10:wrap anchorx="margin"/>
            </v:line>
          </w:pict>
        </mc:Fallback>
      </mc:AlternateContent>
    </w:r>
    <w:r w:rsidR="00AF22DE" w:rsidRPr="00AF22DE">
      <w:rPr>
        <w:noProof/>
        <w:lang w:eastAsia="fr-FR"/>
      </w:rPr>
      <w:drawing>
        <wp:anchor distT="0" distB="0" distL="114300" distR="114300" simplePos="0" relativeHeight="251661312" behindDoc="0" locked="0" layoutInCell="1" allowOverlap="1">
          <wp:simplePos x="0" y="0"/>
          <wp:positionH relativeFrom="margin">
            <wp:posOffset>316230</wp:posOffset>
          </wp:positionH>
          <wp:positionV relativeFrom="paragraph">
            <wp:posOffset>-410210</wp:posOffset>
          </wp:positionV>
          <wp:extent cx="4940300" cy="844550"/>
          <wp:effectExtent l="19050" t="0" r="0"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40300" cy="84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498C"/>
    <w:multiLevelType w:val="hybridMultilevel"/>
    <w:tmpl w:val="909C2674"/>
    <w:lvl w:ilvl="0" w:tplc="A6CEA8B2">
      <w:start w:val="3"/>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357C00"/>
    <w:multiLevelType w:val="hybridMultilevel"/>
    <w:tmpl w:val="3848B4D6"/>
    <w:lvl w:ilvl="0" w:tplc="A6CEA8B2">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4C2F8F"/>
    <w:multiLevelType w:val="hybridMultilevel"/>
    <w:tmpl w:val="ECA65C1E"/>
    <w:lvl w:ilvl="0" w:tplc="3EE8A88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0A0E27"/>
    <w:multiLevelType w:val="hybridMultilevel"/>
    <w:tmpl w:val="F9CE0BB6"/>
    <w:lvl w:ilvl="0" w:tplc="3EE8A88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AB3611"/>
    <w:multiLevelType w:val="hybridMultilevel"/>
    <w:tmpl w:val="E4ECE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B"/>
    <w:rsid w:val="00000A06"/>
    <w:rsid w:val="00002946"/>
    <w:rsid w:val="0000469F"/>
    <w:rsid w:val="0002717F"/>
    <w:rsid w:val="000636EF"/>
    <w:rsid w:val="00065CBA"/>
    <w:rsid w:val="00067B68"/>
    <w:rsid w:val="000721E2"/>
    <w:rsid w:val="0009069D"/>
    <w:rsid w:val="00093A59"/>
    <w:rsid w:val="000A10ED"/>
    <w:rsid w:val="000A147C"/>
    <w:rsid w:val="000B7E62"/>
    <w:rsid w:val="000C0299"/>
    <w:rsid w:val="000D0CAD"/>
    <w:rsid w:val="001030D9"/>
    <w:rsid w:val="001167E1"/>
    <w:rsid w:val="0012173A"/>
    <w:rsid w:val="00131251"/>
    <w:rsid w:val="001317D5"/>
    <w:rsid w:val="0013418C"/>
    <w:rsid w:val="00145BE2"/>
    <w:rsid w:val="00154D6C"/>
    <w:rsid w:val="001805BC"/>
    <w:rsid w:val="00190790"/>
    <w:rsid w:val="00195F2E"/>
    <w:rsid w:val="001B54C0"/>
    <w:rsid w:val="001B5B50"/>
    <w:rsid w:val="001B6FBF"/>
    <w:rsid w:val="001D350E"/>
    <w:rsid w:val="001F670F"/>
    <w:rsid w:val="0022403D"/>
    <w:rsid w:val="00225104"/>
    <w:rsid w:val="00225BA4"/>
    <w:rsid w:val="00231843"/>
    <w:rsid w:val="00247896"/>
    <w:rsid w:val="002513D4"/>
    <w:rsid w:val="0027748D"/>
    <w:rsid w:val="00284361"/>
    <w:rsid w:val="002863A8"/>
    <w:rsid w:val="002A1A4E"/>
    <w:rsid w:val="002A52B9"/>
    <w:rsid w:val="002A6365"/>
    <w:rsid w:val="002B4B48"/>
    <w:rsid w:val="002B5040"/>
    <w:rsid w:val="002D4C83"/>
    <w:rsid w:val="00312A87"/>
    <w:rsid w:val="0031462D"/>
    <w:rsid w:val="003223F4"/>
    <w:rsid w:val="00326B41"/>
    <w:rsid w:val="00337265"/>
    <w:rsid w:val="00356992"/>
    <w:rsid w:val="00356A64"/>
    <w:rsid w:val="003618BE"/>
    <w:rsid w:val="00361B4E"/>
    <w:rsid w:val="00392EBB"/>
    <w:rsid w:val="0039463B"/>
    <w:rsid w:val="00394B73"/>
    <w:rsid w:val="0039504C"/>
    <w:rsid w:val="003A0589"/>
    <w:rsid w:val="003A134F"/>
    <w:rsid w:val="003A606B"/>
    <w:rsid w:val="003B0F91"/>
    <w:rsid w:val="003B7B38"/>
    <w:rsid w:val="003C3318"/>
    <w:rsid w:val="00400F68"/>
    <w:rsid w:val="0040164B"/>
    <w:rsid w:val="004019C6"/>
    <w:rsid w:val="0040708B"/>
    <w:rsid w:val="004160CC"/>
    <w:rsid w:val="00421C65"/>
    <w:rsid w:val="004220D0"/>
    <w:rsid w:val="00427CDB"/>
    <w:rsid w:val="00454B12"/>
    <w:rsid w:val="00471511"/>
    <w:rsid w:val="004725E2"/>
    <w:rsid w:val="004772A5"/>
    <w:rsid w:val="004A41B9"/>
    <w:rsid w:val="004B7399"/>
    <w:rsid w:val="004C01AB"/>
    <w:rsid w:val="004C3532"/>
    <w:rsid w:val="004D4C21"/>
    <w:rsid w:val="004D69EF"/>
    <w:rsid w:val="004F1674"/>
    <w:rsid w:val="004F6610"/>
    <w:rsid w:val="0052157F"/>
    <w:rsid w:val="00521A04"/>
    <w:rsid w:val="005220FB"/>
    <w:rsid w:val="00524B61"/>
    <w:rsid w:val="00536423"/>
    <w:rsid w:val="00557F7B"/>
    <w:rsid w:val="005704B6"/>
    <w:rsid w:val="00576681"/>
    <w:rsid w:val="00577885"/>
    <w:rsid w:val="005958EE"/>
    <w:rsid w:val="005C3892"/>
    <w:rsid w:val="005D1625"/>
    <w:rsid w:val="005E7BF0"/>
    <w:rsid w:val="0060519B"/>
    <w:rsid w:val="00613EE3"/>
    <w:rsid w:val="006434FE"/>
    <w:rsid w:val="00643930"/>
    <w:rsid w:val="00646DAF"/>
    <w:rsid w:val="0066311A"/>
    <w:rsid w:val="0067063E"/>
    <w:rsid w:val="006749D0"/>
    <w:rsid w:val="00675379"/>
    <w:rsid w:val="00683EC1"/>
    <w:rsid w:val="006A323A"/>
    <w:rsid w:val="006B7CEC"/>
    <w:rsid w:val="006C3B10"/>
    <w:rsid w:val="006D2537"/>
    <w:rsid w:val="006D7517"/>
    <w:rsid w:val="006F7923"/>
    <w:rsid w:val="00700808"/>
    <w:rsid w:val="00703716"/>
    <w:rsid w:val="007071F5"/>
    <w:rsid w:val="00713812"/>
    <w:rsid w:val="0071431A"/>
    <w:rsid w:val="00715B3C"/>
    <w:rsid w:val="00717D5D"/>
    <w:rsid w:val="00720515"/>
    <w:rsid w:val="007210E2"/>
    <w:rsid w:val="00721737"/>
    <w:rsid w:val="007232C7"/>
    <w:rsid w:val="00744C27"/>
    <w:rsid w:val="00754953"/>
    <w:rsid w:val="007658FB"/>
    <w:rsid w:val="007660E4"/>
    <w:rsid w:val="00780632"/>
    <w:rsid w:val="00783B8B"/>
    <w:rsid w:val="00785F23"/>
    <w:rsid w:val="007A5536"/>
    <w:rsid w:val="007B19D2"/>
    <w:rsid w:val="007B6B06"/>
    <w:rsid w:val="007E3E81"/>
    <w:rsid w:val="007E4841"/>
    <w:rsid w:val="007F5450"/>
    <w:rsid w:val="00827A43"/>
    <w:rsid w:val="00831E38"/>
    <w:rsid w:val="00840519"/>
    <w:rsid w:val="00841B0C"/>
    <w:rsid w:val="0085752C"/>
    <w:rsid w:val="00871DB7"/>
    <w:rsid w:val="00884483"/>
    <w:rsid w:val="00884A5B"/>
    <w:rsid w:val="008A55EF"/>
    <w:rsid w:val="008B1BB1"/>
    <w:rsid w:val="008B6B0D"/>
    <w:rsid w:val="008C7737"/>
    <w:rsid w:val="008D7067"/>
    <w:rsid w:val="008E390D"/>
    <w:rsid w:val="008E75E2"/>
    <w:rsid w:val="008F3DF6"/>
    <w:rsid w:val="00917354"/>
    <w:rsid w:val="00932040"/>
    <w:rsid w:val="009778BB"/>
    <w:rsid w:val="009868CD"/>
    <w:rsid w:val="009B621C"/>
    <w:rsid w:val="009D24CF"/>
    <w:rsid w:val="009F4FDC"/>
    <w:rsid w:val="00A00D93"/>
    <w:rsid w:val="00A16030"/>
    <w:rsid w:val="00A17AAE"/>
    <w:rsid w:val="00A20267"/>
    <w:rsid w:val="00A27B66"/>
    <w:rsid w:val="00A322D2"/>
    <w:rsid w:val="00A341E7"/>
    <w:rsid w:val="00A55EC7"/>
    <w:rsid w:val="00A62CAB"/>
    <w:rsid w:val="00A653DC"/>
    <w:rsid w:val="00A65F23"/>
    <w:rsid w:val="00AC15C7"/>
    <w:rsid w:val="00AD61F5"/>
    <w:rsid w:val="00AF22DE"/>
    <w:rsid w:val="00B04299"/>
    <w:rsid w:val="00B0672B"/>
    <w:rsid w:val="00B169CC"/>
    <w:rsid w:val="00B17CB2"/>
    <w:rsid w:val="00B24197"/>
    <w:rsid w:val="00B27DCD"/>
    <w:rsid w:val="00B3741C"/>
    <w:rsid w:val="00B45B7E"/>
    <w:rsid w:val="00B61EF9"/>
    <w:rsid w:val="00B63D0B"/>
    <w:rsid w:val="00B72D2B"/>
    <w:rsid w:val="00BA57D9"/>
    <w:rsid w:val="00BC152A"/>
    <w:rsid w:val="00BF2F83"/>
    <w:rsid w:val="00C032FD"/>
    <w:rsid w:val="00C1029F"/>
    <w:rsid w:val="00C17E7A"/>
    <w:rsid w:val="00C222DC"/>
    <w:rsid w:val="00C229B8"/>
    <w:rsid w:val="00C22E13"/>
    <w:rsid w:val="00C33F0B"/>
    <w:rsid w:val="00C37B91"/>
    <w:rsid w:val="00C41A9A"/>
    <w:rsid w:val="00C42E63"/>
    <w:rsid w:val="00C64C77"/>
    <w:rsid w:val="00C74AE3"/>
    <w:rsid w:val="00C92996"/>
    <w:rsid w:val="00C93B37"/>
    <w:rsid w:val="00C97F6E"/>
    <w:rsid w:val="00CA2308"/>
    <w:rsid w:val="00CA2A9A"/>
    <w:rsid w:val="00CC0A34"/>
    <w:rsid w:val="00CC1FE8"/>
    <w:rsid w:val="00CC200B"/>
    <w:rsid w:val="00CC3F44"/>
    <w:rsid w:val="00CC483B"/>
    <w:rsid w:val="00CD2E24"/>
    <w:rsid w:val="00CF7CFB"/>
    <w:rsid w:val="00D04EA3"/>
    <w:rsid w:val="00D06DC0"/>
    <w:rsid w:val="00D22093"/>
    <w:rsid w:val="00D23C50"/>
    <w:rsid w:val="00D3657E"/>
    <w:rsid w:val="00D44B22"/>
    <w:rsid w:val="00D4503E"/>
    <w:rsid w:val="00D52E7B"/>
    <w:rsid w:val="00D7278B"/>
    <w:rsid w:val="00D86426"/>
    <w:rsid w:val="00DA3632"/>
    <w:rsid w:val="00DB7D2A"/>
    <w:rsid w:val="00DC4DA9"/>
    <w:rsid w:val="00DC5BA3"/>
    <w:rsid w:val="00DD28D4"/>
    <w:rsid w:val="00DF49D3"/>
    <w:rsid w:val="00E0141F"/>
    <w:rsid w:val="00E044FF"/>
    <w:rsid w:val="00E05954"/>
    <w:rsid w:val="00E13DB8"/>
    <w:rsid w:val="00E263AE"/>
    <w:rsid w:val="00E43118"/>
    <w:rsid w:val="00E45227"/>
    <w:rsid w:val="00E5152E"/>
    <w:rsid w:val="00E52310"/>
    <w:rsid w:val="00E53DFF"/>
    <w:rsid w:val="00E718FD"/>
    <w:rsid w:val="00E9019F"/>
    <w:rsid w:val="00E95221"/>
    <w:rsid w:val="00E95AB8"/>
    <w:rsid w:val="00E97155"/>
    <w:rsid w:val="00EA0666"/>
    <w:rsid w:val="00EB7E53"/>
    <w:rsid w:val="00EC241C"/>
    <w:rsid w:val="00EC382B"/>
    <w:rsid w:val="00EC54F5"/>
    <w:rsid w:val="00ED5463"/>
    <w:rsid w:val="00ED655C"/>
    <w:rsid w:val="00EE4252"/>
    <w:rsid w:val="00F02B66"/>
    <w:rsid w:val="00F02C5C"/>
    <w:rsid w:val="00F0604E"/>
    <w:rsid w:val="00F17A1D"/>
    <w:rsid w:val="00F24B44"/>
    <w:rsid w:val="00F428B3"/>
    <w:rsid w:val="00F454BA"/>
    <w:rsid w:val="00F459DB"/>
    <w:rsid w:val="00F516A2"/>
    <w:rsid w:val="00F61A82"/>
    <w:rsid w:val="00F76134"/>
    <w:rsid w:val="00F81953"/>
    <w:rsid w:val="00F8696E"/>
    <w:rsid w:val="00F86C68"/>
    <w:rsid w:val="00FA69C3"/>
    <w:rsid w:val="00FB7677"/>
    <w:rsid w:val="00FE06B6"/>
    <w:rsid w:val="00FE43AE"/>
    <w:rsid w:val="00FE79C6"/>
    <w:rsid w:val="00FF73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F9BBDA-F51D-46EC-A96D-257B4DD1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C7"/>
  </w:style>
  <w:style w:type="paragraph" w:styleId="Titre1">
    <w:name w:val="heading 1"/>
    <w:basedOn w:val="Normal"/>
    <w:next w:val="Normal"/>
    <w:link w:val="Titre1Car"/>
    <w:uiPriority w:val="9"/>
    <w:qFormat/>
    <w:rsid w:val="00A62C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00B"/>
    <w:pPr>
      <w:tabs>
        <w:tab w:val="center" w:pos="4536"/>
        <w:tab w:val="right" w:pos="9072"/>
      </w:tabs>
    </w:pPr>
  </w:style>
  <w:style w:type="character" w:customStyle="1" w:styleId="En-tteCar">
    <w:name w:val="En-tête Car"/>
    <w:basedOn w:val="Policepardfaut"/>
    <w:link w:val="En-tte"/>
    <w:uiPriority w:val="99"/>
    <w:rsid w:val="00CC200B"/>
  </w:style>
  <w:style w:type="paragraph" w:styleId="Pieddepage">
    <w:name w:val="footer"/>
    <w:basedOn w:val="Normal"/>
    <w:link w:val="PieddepageCar"/>
    <w:uiPriority w:val="99"/>
    <w:unhideWhenUsed/>
    <w:rsid w:val="00CC200B"/>
    <w:pPr>
      <w:tabs>
        <w:tab w:val="center" w:pos="4536"/>
        <w:tab w:val="right" w:pos="9072"/>
      </w:tabs>
    </w:pPr>
  </w:style>
  <w:style w:type="character" w:customStyle="1" w:styleId="PieddepageCar">
    <w:name w:val="Pied de page Car"/>
    <w:basedOn w:val="Policepardfaut"/>
    <w:link w:val="Pieddepage"/>
    <w:uiPriority w:val="99"/>
    <w:rsid w:val="00CC200B"/>
  </w:style>
  <w:style w:type="character" w:styleId="Lienhypertexte">
    <w:name w:val="Hyperlink"/>
    <w:uiPriority w:val="99"/>
    <w:rsid w:val="00CC200B"/>
    <w:rPr>
      <w:b/>
      <w:bCs/>
      <w:strike w:val="0"/>
      <w:dstrike w:val="0"/>
      <w:color w:val="0257B2"/>
      <w:u w:val="none"/>
      <w:effect w:val="none"/>
    </w:rPr>
  </w:style>
  <w:style w:type="paragraph" w:styleId="Textedebulles">
    <w:name w:val="Balloon Text"/>
    <w:basedOn w:val="Normal"/>
    <w:link w:val="TextedebullesCar"/>
    <w:uiPriority w:val="99"/>
    <w:semiHidden/>
    <w:unhideWhenUsed/>
    <w:rsid w:val="00065C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CBA"/>
    <w:rPr>
      <w:rFonts w:ascii="Segoe UI" w:hAnsi="Segoe UI" w:cs="Segoe UI"/>
      <w:sz w:val="18"/>
      <w:szCs w:val="18"/>
    </w:rPr>
  </w:style>
  <w:style w:type="paragraph" w:styleId="Paragraphedeliste">
    <w:name w:val="List Paragraph"/>
    <w:basedOn w:val="Normal"/>
    <w:uiPriority w:val="34"/>
    <w:qFormat/>
    <w:rsid w:val="004725E2"/>
    <w:pPr>
      <w:spacing w:after="200" w:line="276" w:lineRule="auto"/>
      <w:ind w:left="720"/>
      <w:contextualSpacing/>
    </w:pPr>
    <w:rPr>
      <w:rFonts w:ascii="Calibri" w:eastAsia="Calibri" w:hAnsi="Calibri" w:cs="Times New Roman"/>
    </w:rPr>
  </w:style>
  <w:style w:type="paragraph" w:styleId="Notedebasdepage">
    <w:name w:val="footnote text"/>
    <w:basedOn w:val="Normal"/>
    <w:link w:val="NotedebasdepageCar"/>
    <w:uiPriority w:val="99"/>
    <w:semiHidden/>
    <w:unhideWhenUsed/>
    <w:rsid w:val="00783B8B"/>
    <w:rPr>
      <w:sz w:val="20"/>
      <w:szCs w:val="20"/>
    </w:rPr>
  </w:style>
  <w:style w:type="character" w:customStyle="1" w:styleId="NotedebasdepageCar">
    <w:name w:val="Note de bas de page Car"/>
    <w:basedOn w:val="Policepardfaut"/>
    <w:link w:val="Notedebasdepage"/>
    <w:uiPriority w:val="99"/>
    <w:semiHidden/>
    <w:rsid w:val="00783B8B"/>
    <w:rPr>
      <w:sz w:val="20"/>
      <w:szCs w:val="20"/>
    </w:rPr>
  </w:style>
  <w:style w:type="character" w:styleId="Appelnotedebasdep">
    <w:name w:val="footnote reference"/>
    <w:basedOn w:val="Policepardfaut"/>
    <w:uiPriority w:val="99"/>
    <w:semiHidden/>
    <w:unhideWhenUsed/>
    <w:rsid w:val="00783B8B"/>
    <w:rPr>
      <w:vertAlign w:val="superscript"/>
    </w:rPr>
  </w:style>
  <w:style w:type="character" w:customStyle="1" w:styleId="Mentionnonrsolue1">
    <w:name w:val="Mention non résolue1"/>
    <w:basedOn w:val="Policepardfaut"/>
    <w:uiPriority w:val="99"/>
    <w:semiHidden/>
    <w:unhideWhenUsed/>
    <w:rsid w:val="00EB7E53"/>
    <w:rPr>
      <w:color w:val="808080"/>
      <w:shd w:val="clear" w:color="auto" w:fill="E6E6E6"/>
    </w:rPr>
  </w:style>
  <w:style w:type="table" w:styleId="Grilledutableau">
    <w:name w:val="Table Grid"/>
    <w:basedOn w:val="TableauNormal"/>
    <w:uiPriority w:val="39"/>
    <w:rsid w:val="00932040"/>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F68"/>
    <w:pPr>
      <w:autoSpaceDE w:val="0"/>
      <w:autoSpaceDN w:val="0"/>
      <w:adjustRightInd w:val="0"/>
    </w:pPr>
    <w:rPr>
      <w:color w:val="000000"/>
      <w:sz w:val="24"/>
      <w:szCs w:val="24"/>
    </w:rPr>
  </w:style>
  <w:style w:type="paragraph" w:customStyle="1" w:styleId="paragraph">
    <w:name w:val="paragraph"/>
    <w:basedOn w:val="Normal"/>
    <w:rsid w:val="00B17CB2"/>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17CB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17CB2"/>
    <w:rPr>
      <w:b/>
      <w:bCs/>
    </w:rPr>
  </w:style>
  <w:style w:type="paragraph" w:styleId="Notedefin">
    <w:name w:val="endnote text"/>
    <w:basedOn w:val="Normal"/>
    <w:link w:val="NotedefinCar"/>
    <w:uiPriority w:val="99"/>
    <w:semiHidden/>
    <w:unhideWhenUsed/>
    <w:rsid w:val="00F24B44"/>
    <w:rPr>
      <w:sz w:val="20"/>
      <w:szCs w:val="20"/>
    </w:rPr>
  </w:style>
  <w:style w:type="character" w:customStyle="1" w:styleId="NotedefinCar">
    <w:name w:val="Note de fin Car"/>
    <w:basedOn w:val="Policepardfaut"/>
    <w:link w:val="Notedefin"/>
    <w:uiPriority w:val="99"/>
    <w:semiHidden/>
    <w:rsid w:val="00F24B44"/>
    <w:rPr>
      <w:sz w:val="20"/>
      <w:szCs w:val="20"/>
    </w:rPr>
  </w:style>
  <w:style w:type="character" w:styleId="Appeldenotedefin">
    <w:name w:val="endnote reference"/>
    <w:basedOn w:val="Policepardfaut"/>
    <w:uiPriority w:val="99"/>
    <w:semiHidden/>
    <w:unhideWhenUsed/>
    <w:rsid w:val="00F24B44"/>
    <w:rPr>
      <w:vertAlign w:val="superscript"/>
    </w:rPr>
  </w:style>
  <w:style w:type="character" w:customStyle="1" w:styleId="Mentionnonrsolue2">
    <w:name w:val="Mention non résolue2"/>
    <w:basedOn w:val="Policepardfaut"/>
    <w:uiPriority w:val="99"/>
    <w:semiHidden/>
    <w:unhideWhenUsed/>
    <w:rsid w:val="006A323A"/>
    <w:rPr>
      <w:color w:val="808080"/>
      <w:shd w:val="clear" w:color="auto" w:fill="E6E6E6"/>
    </w:rPr>
  </w:style>
  <w:style w:type="character" w:customStyle="1" w:styleId="Titre1Car">
    <w:name w:val="Titre 1 Car"/>
    <w:basedOn w:val="Policepardfaut"/>
    <w:link w:val="Titre1"/>
    <w:uiPriority w:val="9"/>
    <w:rsid w:val="00A62CAB"/>
    <w:rPr>
      <w:rFonts w:asciiTheme="majorHAnsi" w:eastAsiaTheme="majorEastAsia" w:hAnsiTheme="majorHAnsi" w:cstheme="majorBidi"/>
      <w:color w:val="365F91" w:themeColor="accent1" w:themeShade="BF"/>
      <w:sz w:val="32"/>
      <w:szCs w:val="32"/>
    </w:rPr>
  </w:style>
  <w:style w:type="character" w:styleId="Lienhypertextesuivivisit">
    <w:name w:val="FollowedHyperlink"/>
    <w:basedOn w:val="Policepardfaut"/>
    <w:uiPriority w:val="99"/>
    <w:semiHidden/>
    <w:unhideWhenUsed/>
    <w:rsid w:val="003A0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0830">
      <w:bodyDiv w:val="1"/>
      <w:marLeft w:val="0"/>
      <w:marRight w:val="0"/>
      <w:marTop w:val="0"/>
      <w:marBottom w:val="0"/>
      <w:divBdr>
        <w:top w:val="none" w:sz="0" w:space="0" w:color="auto"/>
        <w:left w:val="none" w:sz="0" w:space="0" w:color="auto"/>
        <w:bottom w:val="none" w:sz="0" w:space="0" w:color="auto"/>
        <w:right w:val="none" w:sz="0" w:space="0" w:color="auto"/>
      </w:divBdr>
    </w:div>
    <w:div w:id="638804359">
      <w:bodyDiv w:val="1"/>
      <w:marLeft w:val="0"/>
      <w:marRight w:val="0"/>
      <w:marTop w:val="0"/>
      <w:marBottom w:val="0"/>
      <w:divBdr>
        <w:top w:val="none" w:sz="0" w:space="0" w:color="auto"/>
        <w:left w:val="none" w:sz="0" w:space="0" w:color="auto"/>
        <w:bottom w:val="none" w:sz="0" w:space="0" w:color="auto"/>
        <w:right w:val="none" w:sz="0" w:space="0" w:color="auto"/>
      </w:divBdr>
    </w:div>
    <w:div w:id="698580238">
      <w:bodyDiv w:val="1"/>
      <w:marLeft w:val="0"/>
      <w:marRight w:val="0"/>
      <w:marTop w:val="0"/>
      <w:marBottom w:val="0"/>
      <w:divBdr>
        <w:top w:val="none" w:sz="0" w:space="0" w:color="auto"/>
        <w:left w:val="none" w:sz="0" w:space="0" w:color="auto"/>
        <w:bottom w:val="none" w:sz="0" w:space="0" w:color="auto"/>
        <w:right w:val="none" w:sz="0" w:space="0" w:color="auto"/>
      </w:divBdr>
    </w:div>
    <w:div w:id="842821637">
      <w:bodyDiv w:val="1"/>
      <w:marLeft w:val="0"/>
      <w:marRight w:val="0"/>
      <w:marTop w:val="0"/>
      <w:marBottom w:val="0"/>
      <w:divBdr>
        <w:top w:val="none" w:sz="0" w:space="0" w:color="auto"/>
        <w:left w:val="none" w:sz="0" w:space="0" w:color="auto"/>
        <w:bottom w:val="none" w:sz="0" w:space="0" w:color="auto"/>
        <w:right w:val="none" w:sz="0" w:space="0" w:color="auto"/>
      </w:divBdr>
    </w:div>
    <w:div w:id="1281884200">
      <w:bodyDiv w:val="1"/>
      <w:marLeft w:val="0"/>
      <w:marRight w:val="0"/>
      <w:marTop w:val="0"/>
      <w:marBottom w:val="0"/>
      <w:divBdr>
        <w:top w:val="none" w:sz="0" w:space="0" w:color="auto"/>
        <w:left w:val="none" w:sz="0" w:space="0" w:color="auto"/>
        <w:bottom w:val="none" w:sz="0" w:space="0" w:color="auto"/>
        <w:right w:val="none" w:sz="0" w:space="0" w:color="auto"/>
      </w:divBdr>
    </w:div>
    <w:div w:id="1905140177">
      <w:bodyDiv w:val="1"/>
      <w:marLeft w:val="0"/>
      <w:marRight w:val="0"/>
      <w:marTop w:val="0"/>
      <w:marBottom w:val="0"/>
      <w:divBdr>
        <w:top w:val="none" w:sz="0" w:space="0" w:color="auto"/>
        <w:left w:val="none" w:sz="0" w:space="0" w:color="auto"/>
        <w:bottom w:val="none" w:sz="0" w:space="0" w:color="auto"/>
        <w:right w:val="none" w:sz="0" w:space="0" w:color="auto"/>
      </w:divBdr>
    </w:div>
    <w:div w:id="19688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e-total-promucf@economiedenergi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ntx8.r.a.d.sendibm1.com/mk/mr/CuW-W0x9qehqwzw1YjthnXsRWSOh57gNmJTMmnu2-GH_ra3vKY0vjg5Z0Q_fvruJ1oGovWlW1ggBOthE0Yy60k_oSzkrpQs-kkHhnO9FIz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sonergia.com" TargetMode="External"/><Relationship Id="rId4" Type="http://schemas.openxmlformats.org/officeDocument/2006/relationships/settings" Target="settings.xml"/><Relationship Id="rId9" Type="http://schemas.openxmlformats.org/officeDocument/2006/relationships/hyperlink" Target="mailto:info-prime-energie-edf@economiedenergie.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D9B9-E9AC-4996-9B64-0A9ADE32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PONT</dc:creator>
  <cp:lastModifiedBy>Cécile PONT</cp:lastModifiedBy>
  <cp:revision>6</cp:revision>
  <cp:lastPrinted>2020-03-25T15:13:00Z</cp:lastPrinted>
  <dcterms:created xsi:type="dcterms:W3CDTF">2020-03-25T14:15:00Z</dcterms:created>
  <dcterms:modified xsi:type="dcterms:W3CDTF">2020-03-25T15:21:00Z</dcterms:modified>
</cp:coreProperties>
</file>