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BE2" w:rsidRPr="00CC5F25" w:rsidRDefault="00B0672B" w:rsidP="00B0672B">
      <w:pPr>
        <w:jc w:val="right"/>
        <w:rPr>
          <w:b/>
          <w:color w:val="003399"/>
          <w:sz w:val="24"/>
          <w:szCs w:val="24"/>
        </w:rPr>
      </w:pPr>
      <w:r w:rsidRPr="00CC5F25">
        <w:rPr>
          <w:b/>
          <w:color w:val="003399"/>
          <w:sz w:val="24"/>
          <w:szCs w:val="24"/>
        </w:rPr>
        <w:t>DA</w:t>
      </w:r>
      <w:r w:rsidR="00932040" w:rsidRPr="00CC5F25">
        <w:rPr>
          <w:b/>
          <w:color w:val="003399"/>
          <w:sz w:val="24"/>
          <w:szCs w:val="24"/>
        </w:rPr>
        <w:t>S</w:t>
      </w:r>
      <w:r w:rsidRPr="00CC5F25">
        <w:rPr>
          <w:b/>
          <w:color w:val="003399"/>
          <w:sz w:val="24"/>
          <w:szCs w:val="24"/>
        </w:rPr>
        <w:t xml:space="preserve"> n°</w:t>
      </w:r>
      <w:r w:rsidR="003A42E4" w:rsidRPr="00CC5F25">
        <w:rPr>
          <w:b/>
          <w:color w:val="003399"/>
          <w:sz w:val="24"/>
          <w:szCs w:val="24"/>
        </w:rPr>
        <w:t>59</w:t>
      </w:r>
    </w:p>
    <w:p w:rsidR="00B0672B" w:rsidRPr="00CC5F25" w:rsidRDefault="00D758F8" w:rsidP="00CC5F25">
      <w:pPr>
        <w:jc w:val="right"/>
        <w:rPr>
          <w:b/>
          <w:color w:val="003399"/>
          <w:sz w:val="24"/>
          <w:szCs w:val="24"/>
        </w:rPr>
      </w:pPr>
      <w:r>
        <w:rPr>
          <w:b/>
          <w:color w:val="003399"/>
          <w:sz w:val="24"/>
          <w:szCs w:val="24"/>
        </w:rPr>
        <w:t>Mise à jour le 31</w:t>
      </w:r>
      <w:r w:rsidR="00400F68" w:rsidRPr="00CC5F25">
        <w:rPr>
          <w:b/>
          <w:color w:val="003399"/>
          <w:sz w:val="24"/>
          <w:szCs w:val="24"/>
        </w:rPr>
        <w:t xml:space="preserve"> </w:t>
      </w:r>
      <w:r w:rsidR="00CC3F44" w:rsidRPr="00CC5F25">
        <w:rPr>
          <w:b/>
          <w:color w:val="003399"/>
          <w:sz w:val="24"/>
          <w:szCs w:val="24"/>
        </w:rPr>
        <w:t>mars</w:t>
      </w:r>
      <w:r w:rsidR="000C0299" w:rsidRPr="00CC5F25">
        <w:rPr>
          <w:b/>
          <w:color w:val="003399"/>
          <w:sz w:val="24"/>
          <w:szCs w:val="24"/>
        </w:rPr>
        <w:t xml:space="preserve"> 2020</w:t>
      </w:r>
    </w:p>
    <w:p w:rsidR="00C41A9A" w:rsidRPr="00CC5F25" w:rsidRDefault="00C41A9A" w:rsidP="00CC5F25">
      <w:pPr>
        <w:rPr>
          <w:color w:val="003399"/>
        </w:rPr>
      </w:pPr>
    </w:p>
    <w:p w:rsidR="00C41A9A" w:rsidRPr="00CC5F25" w:rsidRDefault="00C41A9A" w:rsidP="00CC5F25"/>
    <w:p w:rsidR="00C41A9A" w:rsidRPr="00CC5F25" w:rsidRDefault="00C41A9A" w:rsidP="00CC5F25"/>
    <w:p w:rsidR="00C41A9A" w:rsidRPr="00E756DE" w:rsidRDefault="00C41A9A" w:rsidP="00E756DE">
      <w:pPr>
        <w:keepNext/>
        <w:keepLines/>
        <w:jc w:val="center"/>
        <w:outlineLvl w:val="0"/>
        <w:rPr>
          <w:rFonts w:eastAsia="Times New Roman"/>
          <w:b/>
          <w:sz w:val="28"/>
          <w:szCs w:val="28"/>
        </w:rPr>
      </w:pPr>
      <w:r w:rsidRPr="00E756DE">
        <w:rPr>
          <w:rFonts w:eastAsia="Times New Roman"/>
          <w:b/>
          <w:sz w:val="28"/>
          <w:szCs w:val="28"/>
        </w:rPr>
        <w:t>Covid-19 (Coronavirus)</w:t>
      </w:r>
    </w:p>
    <w:p w:rsidR="00C41A9A" w:rsidRPr="00E756DE" w:rsidRDefault="00C41A9A" w:rsidP="00E756DE">
      <w:pPr>
        <w:keepNext/>
        <w:keepLines/>
        <w:jc w:val="center"/>
        <w:outlineLvl w:val="0"/>
        <w:rPr>
          <w:rFonts w:eastAsia="Times New Roman"/>
          <w:b/>
          <w:sz w:val="28"/>
          <w:szCs w:val="28"/>
        </w:rPr>
      </w:pPr>
      <w:r w:rsidRPr="00E756DE">
        <w:rPr>
          <w:rFonts w:eastAsia="Times New Roman"/>
          <w:b/>
          <w:sz w:val="28"/>
          <w:szCs w:val="28"/>
        </w:rPr>
        <w:t>Les arrêts de travail pendant la crise sanitaire</w:t>
      </w:r>
    </w:p>
    <w:p w:rsidR="00C41A9A" w:rsidRPr="00E756DE" w:rsidRDefault="00C41A9A" w:rsidP="00E756DE"/>
    <w:p w:rsidR="00C41A9A" w:rsidRPr="00E756DE" w:rsidRDefault="00C41A9A" w:rsidP="00E756DE"/>
    <w:p w:rsidR="00C41A9A" w:rsidRPr="00E756DE" w:rsidRDefault="00C41A9A" w:rsidP="00E756DE">
      <w:pPr>
        <w:jc w:val="both"/>
      </w:pPr>
      <w:r w:rsidRPr="00E756DE">
        <w:t xml:space="preserve">Au fur et à mesure que l’épidémie de Covid-19 (Coronavirus) s’est propagée sur le territoire français, les pouvoirs publics ont mis en place des dispositifs permettant aux personnes impactées d’être indemnisées par la Sécurité Sociale. </w:t>
      </w:r>
    </w:p>
    <w:p w:rsidR="00C41A9A" w:rsidRPr="00E756DE" w:rsidRDefault="00C41A9A" w:rsidP="00E756DE">
      <w:pPr>
        <w:jc w:val="both"/>
      </w:pPr>
    </w:p>
    <w:p w:rsidR="00C41A9A" w:rsidRPr="00E756DE" w:rsidRDefault="00C41A9A" w:rsidP="00E756DE">
      <w:pPr>
        <w:jc w:val="both"/>
      </w:pPr>
      <w:r w:rsidRPr="00E756DE">
        <w:t>Il existe à ce jour quatre types d’arrêts de travail mobilisable</w:t>
      </w:r>
      <w:r w:rsidR="00392EBB" w:rsidRPr="00E756DE">
        <w:t>s</w:t>
      </w:r>
      <w:r w:rsidRPr="00E756DE">
        <w:t xml:space="preserve"> : </w:t>
      </w:r>
    </w:p>
    <w:p w:rsidR="00C41A9A" w:rsidRPr="00E756DE" w:rsidRDefault="00C41A9A" w:rsidP="00E756DE">
      <w:pPr>
        <w:jc w:val="both"/>
      </w:pPr>
    </w:p>
    <w:p w:rsidR="00C41A9A" w:rsidRPr="00E756DE" w:rsidRDefault="00C41A9A" w:rsidP="00E756DE">
      <w:pPr>
        <w:pStyle w:val="Paragraphedeliste"/>
        <w:numPr>
          <w:ilvl w:val="0"/>
          <w:numId w:val="39"/>
        </w:numPr>
        <w:spacing w:after="0" w:line="240" w:lineRule="auto"/>
        <w:jc w:val="both"/>
        <w:rPr>
          <w:rFonts w:ascii="Arial" w:eastAsiaTheme="minorHAnsi" w:hAnsi="Arial" w:cs="Arial"/>
        </w:rPr>
      </w:pPr>
      <w:r w:rsidRPr="00E756DE">
        <w:rPr>
          <w:rFonts w:ascii="Arial" w:eastAsiaTheme="minorHAnsi" w:hAnsi="Arial" w:cs="Arial"/>
        </w:rPr>
        <w:t xml:space="preserve">l’arrêt maladie (pour les personnes </w:t>
      </w:r>
      <w:r w:rsidR="00720515" w:rsidRPr="00E756DE">
        <w:rPr>
          <w:rFonts w:ascii="Arial" w:eastAsiaTheme="minorHAnsi" w:hAnsi="Arial" w:cs="Arial"/>
        </w:rPr>
        <w:t>atteintes du virus</w:t>
      </w:r>
      <w:r w:rsidRPr="00E756DE">
        <w:rPr>
          <w:rFonts w:ascii="Arial" w:eastAsiaTheme="minorHAnsi" w:hAnsi="Arial" w:cs="Arial"/>
        </w:rPr>
        <w:t xml:space="preserve">) ; </w:t>
      </w:r>
    </w:p>
    <w:p w:rsidR="00C41A9A" w:rsidRPr="00E756DE" w:rsidRDefault="00C41A9A" w:rsidP="00E756DE">
      <w:pPr>
        <w:pStyle w:val="Paragraphedeliste"/>
        <w:numPr>
          <w:ilvl w:val="0"/>
          <w:numId w:val="39"/>
        </w:numPr>
        <w:spacing w:after="0" w:line="240" w:lineRule="auto"/>
        <w:jc w:val="both"/>
        <w:rPr>
          <w:rFonts w:ascii="Arial" w:eastAsiaTheme="minorHAnsi" w:hAnsi="Arial" w:cs="Arial"/>
        </w:rPr>
      </w:pPr>
      <w:r w:rsidRPr="00E756DE">
        <w:rPr>
          <w:rFonts w:ascii="Arial" w:eastAsiaTheme="minorHAnsi" w:hAnsi="Arial" w:cs="Arial"/>
        </w:rPr>
        <w:t xml:space="preserve">l’arrêt de travail pour confinement (en cas de suspicion de contamination) ; </w:t>
      </w:r>
    </w:p>
    <w:p w:rsidR="00C41A9A" w:rsidRPr="00E756DE" w:rsidRDefault="00C41A9A" w:rsidP="00E756DE">
      <w:pPr>
        <w:pStyle w:val="Paragraphedeliste"/>
        <w:numPr>
          <w:ilvl w:val="0"/>
          <w:numId w:val="39"/>
        </w:numPr>
        <w:spacing w:after="0" w:line="240" w:lineRule="auto"/>
        <w:jc w:val="both"/>
        <w:rPr>
          <w:rFonts w:ascii="Arial" w:eastAsiaTheme="minorHAnsi" w:hAnsi="Arial" w:cs="Arial"/>
        </w:rPr>
      </w:pPr>
      <w:r w:rsidRPr="00E756DE">
        <w:rPr>
          <w:rFonts w:ascii="Arial" w:eastAsiaTheme="minorHAnsi" w:hAnsi="Arial" w:cs="Arial"/>
        </w:rPr>
        <w:t xml:space="preserve">l’arrêt de travail pour garde d’enfant confiné ; </w:t>
      </w:r>
    </w:p>
    <w:p w:rsidR="00C41A9A" w:rsidRPr="00E756DE" w:rsidRDefault="00C41A9A" w:rsidP="00E756DE">
      <w:pPr>
        <w:pStyle w:val="Paragraphedeliste"/>
        <w:numPr>
          <w:ilvl w:val="0"/>
          <w:numId w:val="39"/>
        </w:numPr>
        <w:spacing w:after="0" w:line="240" w:lineRule="auto"/>
        <w:jc w:val="both"/>
        <w:rPr>
          <w:rFonts w:ascii="Arial" w:eastAsiaTheme="minorHAnsi" w:hAnsi="Arial" w:cs="Arial"/>
        </w:rPr>
      </w:pPr>
      <w:r w:rsidRPr="00E756DE">
        <w:rPr>
          <w:rFonts w:ascii="Arial" w:eastAsiaTheme="minorHAnsi" w:hAnsi="Arial" w:cs="Arial"/>
        </w:rPr>
        <w:t xml:space="preserve">l’arrêt de travail pour personnes présentant un « risque élevé ». </w:t>
      </w:r>
    </w:p>
    <w:p w:rsidR="00584F21" w:rsidRPr="00E756DE" w:rsidRDefault="00584F21" w:rsidP="00E756DE">
      <w:pPr>
        <w:pStyle w:val="Paragraphedeliste"/>
        <w:spacing w:after="0" w:line="240" w:lineRule="auto"/>
        <w:jc w:val="both"/>
        <w:rPr>
          <w:rFonts w:ascii="Arial" w:eastAsiaTheme="minorHAnsi" w:hAnsi="Arial" w:cs="Arial"/>
        </w:rPr>
      </w:pPr>
    </w:p>
    <w:p w:rsidR="00247896" w:rsidRPr="00E756DE" w:rsidRDefault="00392EBB" w:rsidP="00E756DE">
      <w:pPr>
        <w:jc w:val="both"/>
      </w:pPr>
      <w:r w:rsidRPr="00E756DE">
        <w:t xml:space="preserve">S’agissant de </w:t>
      </w:r>
      <w:r w:rsidR="00247896" w:rsidRPr="00E756DE">
        <w:t>l’indemnité complémentaire versée</w:t>
      </w:r>
      <w:r w:rsidRPr="00E756DE">
        <w:t xml:space="preserve"> en complément des IJSS, sous réserve de précisions à venir, </w:t>
      </w:r>
      <w:r w:rsidR="00F428B3" w:rsidRPr="00E756DE">
        <w:t xml:space="preserve">la FFB Grand Paris recommande aux entreprises </w:t>
      </w:r>
      <w:r w:rsidRPr="00E756DE">
        <w:t>d’appliquer les dispositions prévues par les conventions col</w:t>
      </w:r>
      <w:r w:rsidR="00247896" w:rsidRPr="00E756DE">
        <w:t xml:space="preserve">lectives du Bâtiment (en fonction du statut du salarié : Ouvrier, ETAM, Cadre). </w:t>
      </w:r>
    </w:p>
    <w:p w:rsidR="00247896" w:rsidRPr="00E756DE" w:rsidRDefault="00247896" w:rsidP="00E756DE">
      <w:pPr>
        <w:jc w:val="both"/>
      </w:pPr>
    </w:p>
    <w:p w:rsidR="00C41A9A" w:rsidRPr="00E756DE" w:rsidRDefault="00C41A9A" w:rsidP="00E756DE">
      <w:pPr>
        <w:jc w:val="both"/>
      </w:pPr>
    </w:p>
    <w:p w:rsidR="00C41A9A" w:rsidRPr="00E756DE" w:rsidRDefault="00C41A9A" w:rsidP="00E756DE">
      <w:pPr>
        <w:jc w:val="both"/>
        <w:rPr>
          <w:b/>
          <w:color w:val="4F81BD" w:themeColor="accent1"/>
          <w:u w:val="single"/>
        </w:rPr>
      </w:pPr>
      <w:r w:rsidRPr="00E756DE">
        <w:rPr>
          <w:b/>
          <w:color w:val="4F81BD" w:themeColor="accent1"/>
          <w:u w:val="single"/>
        </w:rPr>
        <w:t xml:space="preserve">L’arrêt de travail pour les personnes </w:t>
      </w:r>
      <w:r w:rsidR="00720515" w:rsidRPr="00E756DE">
        <w:rPr>
          <w:b/>
          <w:color w:val="4F81BD" w:themeColor="accent1"/>
          <w:u w:val="single"/>
        </w:rPr>
        <w:t>atteintes du virus</w:t>
      </w:r>
      <w:r w:rsidRPr="00E756DE">
        <w:rPr>
          <w:b/>
          <w:color w:val="4F81BD" w:themeColor="accent1"/>
          <w:u w:val="single"/>
        </w:rPr>
        <w:t xml:space="preserve"> </w:t>
      </w:r>
    </w:p>
    <w:p w:rsidR="00C41A9A" w:rsidRPr="00E756DE" w:rsidRDefault="00C41A9A" w:rsidP="00E756DE">
      <w:pPr>
        <w:jc w:val="both"/>
      </w:pPr>
    </w:p>
    <w:p w:rsidR="00C41A9A" w:rsidRPr="00E756DE" w:rsidRDefault="00C41A9A" w:rsidP="00E756DE">
      <w:pPr>
        <w:jc w:val="both"/>
      </w:pPr>
      <w:r w:rsidRPr="00E756DE">
        <w:t xml:space="preserve">Lorsqu’un salarié est testé positif au Covid-19, il bénéficie alors d’un arrêt de travail pour maladie. </w:t>
      </w:r>
    </w:p>
    <w:p w:rsidR="00C41A9A" w:rsidRPr="00E756DE" w:rsidRDefault="00C41A9A" w:rsidP="00E756DE">
      <w:pPr>
        <w:jc w:val="both"/>
      </w:pPr>
    </w:p>
    <w:p w:rsidR="00247896" w:rsidRPr="00E756DE" w:rsidRDefault="00C41A9A" w:rsidP="00E756DE">
      <w:pPr>
        <w:jc w:val="both"/>
      </w:pPr>
      <w:r w:rsidRPr="00E756DE">
        <w:t xml:space="preserve">Les décrets pris par le Gouvernement modifient les règles d’indemnisation du salarié. Ainsi, le salarié qui fait l’objet de cet arrêt bénéficiera des IJSS </w:t>
      </w:r>
      <w:r w:rsidR="00A55EC7" w:rsidRPr="00E756DE">
        <w:t xml:space="preserve">dans </w:t>
      </w:r>
      <w:r w:rsidR="00720515" w:rsidRPr="00E756DE">
        <w:t xml:space="preserve">les </w:t>
      </w:r>
      <w:r w:rsidR="00A55EC7" w:rsidRPr="00E756DE">
        <w:t>conditions posées par la loi</w:t>
      </w:r>
      <w:r w:rsidR="00247896" w:rsidRPr="00E756DE">
        <w:t xml:space="preserve">. </w:t>
      </w:r>
    </w:p>
    <w:p w:rsidR="00247896" w:rsidRPr="00E756DE" w:rsidRDefault="00247896" w:rsidP="00E756DE">
      <w:pPr>
        <w:jc w:val="both"/>
      </w:pPr>
    </w:p>
    <w:p w:rsidR="00C41A9A" w:rsidRPr="00E756DE" w:rsidRDefault="00247896" w:rsidP="00E756DE">
      <w:pPr>
        <w:jc w:val="both"/>
      </w:pPr>
      <w:r w:rsidRPr="00E756DE">
        <w:t xml:space="preserve">Deux exceptions pour les IJSS : pas d’application du délai de carence et pas de condition d’ouverture des droits. </w:t>
      </w:r>
    </w:p>
    <w:p w:rsidR="00247896" w:rsidRPr="00E756DE" w:rsidRDefault="00247896" w:rsidP="00E756DE">
      <w:pPr>
        <w:jc w:val="both"/>
      </w:pPr>
    </w:p>
    <w:tbl>
      <w:tblPr>
        <w:tblW w:w="9067"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7"/>
        <w:gridCol w:w="1245"/>
        <w:gridCol w:w="3251"/>
        <w:gridCol w:w="2114"/>
      </w:tblGrid>
      <w:tr w:rsidR="00247896" w:rsidRPr="00E756DE" w:rsidTr="00247896">
        <w:trPr>
          <w:trHeight w:val="643"/>
          <w:tblCellSpacing w:w="7" w:type="dxa"/>
        </w:trPr>
        <w:tc>
          <w:tcPr>
            <w:tcW w:w="0" w:type="auto"/>
            <w:shd w:val="clear" w:color="auto" w:fill="8DB3E2" w:themeFill="text2" w:themeFillTint="66"/>
            <w:tcMar>
              <w:top w:w="15" w:type="dxa"/>
              <w:left w:w="15" w:type="dxa"/>
              <w:bottom w:w="15" w:type="dxa"/>
              <w:right w:w="15" w:type="dxa"/>
            </w:tcMar>
            <w:vAlign w:val="center"/>
            <w:hideMark/>
          </w:tcPr>
          <w:p w:rsidR="00247896" w:rsidRPr="00E756DE" w:rsidRDefault="00247896" w:rsidP="00E756DE">
            <w:pPr>
              <w:jc w:val="center"/>
              <w:rPr>
                <w:b/>
              </w:rPr>
            </w:pPr>
            <w:r w:rsidRPr="00E756DE">
              <w:rPr>
                <w:b/>
              </w:rPr>
              <w:t>Cas de figure</w:t>
            </w:r>
          </w:p>
        </w:tc>
        <w:tc>
          <w:tcPr>
            <w:tcW w:w="0" w:type="auto"/>
            <w:shd w:val="clear" w:color="auto" w:fill="8DB3E2" w:themeFill="text2" w:themeFillTint="66"/>
            <w:tcMar>
              <w:top w:w="15" w:type="dxa"/>
              <w:left w:w="15" w:type="dxa"/>
              <w:bottom w:w="15" w:type="dxa"/>
              <w:right w:w="15" w:type="dxa"/>
            </w:tcMar>
            <w:vAlign w:val="center"/>
            <w:hideMark/>
          </w:tcPr>
          <w:p w:rsidR="00247896" w:rsidRPr="00E756DE" w:rsidRDefault="00247896" w:rsidP="00E756DE">
            <w:pPr>
              <w:jc w:val="center"/>
              <w:rPr>
                <w:b/>
              </w:rPr>
            </w:pPr>
            <w:r w:rsidRPr="00E756DE">
              <w:rPr>
                <w:b/>
              </w:rPr>
              <w:t>Formalités</w:t>
            </w:r>
          </w:p>
        </w:tc>
        <w:tc>
          <w:tcPr>
            <w:tcW w:w="0" w:type="auto"/>
            <w:shd w:val="clear" w:color="auto" w:fill="8DB3E2" w:themeFill="text2" w:themeFillTint="66"/>
            <w:tcMar>
              <w:top w:w="15" w:type="dxa"/>
              <w:left w:w="15" w:type="dxa"/>
              <w:bottom w:w="15" w:type="dxa"/>
              <w:right w:w="15" w:type="dxa"/>
            </w:tcMar>
            <w:vAlign w:val="center"/>
            <w:hideMark/>
          </w:tcPr>
          <w:p w:rsidR="00247896" w:rsidRPr="00E756DE" w:rsidRDefault="00247896" w:rsidP="00E756DE">
            <w:pPr>
              <w:jc w:val="center"/>
              <w:rPr>
                <w:b/>
              </w:rPr>
            </w:pPr>
            <w:r w:rsidRPr="00E756DE">
              <w:rPr>
                <w:b/>
              </w:rPr>
              <w:t>IJSS</w:t>
            </w:r>
          </w:p>
        </w:tc>
        <w:tc>
          <w:tcPr>
            <w:tcW w:w="2093" w:type="dxa"/>
            <w:shd w:val="clear" w:color="auto" w:fill="8DB3E2" w:themeFill="text2" w:themeFillTint="66"/>
            <w:tcMar>
              <w:top w:w="15" w:type="dxa"/>
              <w:left w:w="15" w:type="dxa"/>
              <w:bottom w:w="15" w:type="dxa"/>
              <w:right w:w="15" w:type="dxa"/>
            </w:tcMar>
            <w:vAlign w:val="center"/>
            <w:hideMark/>
          </w:tcPr>
          <w:p w:rsidR="00247896" w:rsidRPr="00E756DE" w:rsidRDefault="00247896" w:rsidP="00E756DE">
            <w:pPr>
              <w:jc w:val="center"/>
              <w:rPr>
                <w:b/>
              </w:rPr>
            </w:pPr>
            <w:r w:rsidRPr="00E756DE">
              <w:rPr>
                <w:b/>
              </w:rPr>
              <w:t>Indemnisation complémentaire par l’employeur</w:t>
            </w:r>
          </w:p>
        </w:tc>
      </w:tr>
      <w:tr w:rsidR="00247896" w:rsidRPr="00E756DE" w:rsidTr="00247896">
        <w:trPr>
          <w:tblCellSpacing w:w="7" w:type="dxa"/>
        </w:trPr>
        <w:tc>
          <w:tcPr>
            <w:tcW w:w="0" w:type="auto"/>
            <w:tcMar>
              <w:top w:w="15" w:type="dxa"/>
              <w:left w:w="15" w:type="dxa"/>
              <w:bottom w:w="15" w:type="dxa"/>
              <w:right w:w="15" w:type="dxa"/>
            </w:tcMar>
            <w:vAlign w:val="center"/>
            <w:hideMark/>
          </w:tcPr>
          <w:p w:rsidR="00247896" w:rsidRPr="00E756DE" w:rsidRDefault="00247896" w:rsidP="00E756DE">
            <w:pPr>
              <w:jc w:val="center"/>
            </w:pPr>
            <w:r w:rsidRPr="00E756DE">
              <w:t>Salarié atteint par le coronavirus et en isolement</w:t>
            </w:r>
          </w:p>
        </w:tc>
        <w:tc>
          <w:tcPr>
            <w:tcW w:w="0" w:type="auto"/>
            <w:tcMar>
              <w:top w:w="15" w:type="dxa"/>
              <w:left w:w="15" w:type="dxa"/>
              <w:bottom w:w="15" w:type="dxa"/>
              <w:right w:w="15" w:type="dxa"/>
            </w:tcMar>
            <w:vAlign w:val="center"/>
            <w:hideMark/>
          </w:tcPr>
          <w:p w:rsidR="00247896" w:rsidRPr="00E756DE" w:rsidRDefault="00247896" w:rsidP="00E756DE">
            <w:pPr>
              <w:jc w:val="center"/>
            </w:pPr>
            <w:r w:rsidRPr="00E756DE">
              <w:t>Arrêt maladie</w:t>
            </w:r>
          </w:p>
        </w:tc>
        <w:tc>
          <w:tcPr>
            <w:tcW w:w="0" w:type="auto"/>
            <w:tcMar>
              <w:top w:w="15" w:type="dxa"/>
              <w:left w:w="15" w:type="dxa"/>
              <w:bottom w:w="15" w:type="dxa"/>
              <w:right w:w="15" w:type="dxa"/>
            </w:tcMar>
            <w:vAlign w:val="center"/>
            <w:hideMark/>
          </w:tcPr>
          <w:p w:rsidR="00247896" w:rsidRPr="00E756DE" w:rsidRDefault="00247896" w:rsidP="00E756DE">
            <w:pPr>
              <w:jc w:val="center"/>
            </w:pPr>
            <w:r w:rsidRPr="00E756DE">
              <w:t>Oui</w:t>
            </w:r>
            <w:r w:rsidRPr="00E756DE">
              <w:br/>
              <w:t>Sans délai de carence ni condition d’ancienneté (</w:t>
            </w:r>
            <w:r w:rsidRPr="00E756DE">
              <w:rPr>
                <w:i/>
              </w:rPr>
              <w:t>décret du 31 janvier</w:t>
            </w:r>
            <w:r w:rsidRPr="00E756DE">
              <w:t>)</w:t>
            </w:r>
          </w:p>
        </w:tc>
        <w:tc>
          <w:tcPr>
            <w:tcW w:w="2093" w:type="dxa"/>
            <w:tcMar>
              <w:top w:w="15" w:type="dxa"/>
              <w:left w:w="15" w:type="dxa"/>
              <w:bottom w:w="15" w:type="dxa"/>
              <w:right w:w="15" w:type="dxa"/>
            </w:tcMar>
            <w:vAlign w:val="center"/>
            <w:hideMark/>
          </w:tcPr>
          <w:p w:rsidR="00247896" w:rsidRPr="00E756DE" w:rsidRDefault="00247896" w:rsidP="00E756DE">
            <w:pPr>
              <w:jc w:val="center"/>
            </w:pPr>
            <w:r w:rsidRPr="00E756DE">
              <w:t>Oui</w:t>
            </w:r>
            <w:r w:rsidRPr="00E756DE">
              <w:br/>
            </w:r>
          </w:p>
        </w:tc>
      </w:tr>
    </w:tbl>
    <w:p w:rsidR="00247896" w:rsidRPr="00E756DE" w:rsidRDefault="00247896" w:rsidP="00E756DE">
      <w:pPr>
        <w:jc w:val="both"/>
      </w:pPr>
    </w:p>
    <w:p w:rsidR="00CC5F25" w:rsidRPr="00E756DE" w:rsidRDefault="00CC5F25" w:rsidP="00E756DE">
      <w:pPr>
        <w:jc w:val="both"/>
      </w:pPr>
    </w:p>
    <w:p w:rsidR="00CC5F25" w:rsidRPr="00E756DE" w:rsidRDefault="00CC5F25" w:rsidP="00E756DE">
      <w:pPr>
        <w:jc w:val="both"/>
      </w:pPr>
    </w:p>
    <w:p w:rsidR="00CC5F25" w:rsidRPr="00E756DE" w:rsidRDefault="00CC5F25" w:rsidP="00E756DE">
      <w:pPr>
        <w:jc w:val="both"/>
      </w:pPr>
    </w:p>
    <w:p w:rsidR="00247896" w:rsidRPr="00E756DE" w:rsidRDefault="00247896" w:rsidP="00E756DE">
      <w:pPr>
        <w:jc w:val="both"/>
      </w:pPr>
    </w:p>
    <w:p w:rsidR="00F428B3" w:rsidRPr="00E756DE" w:rsidRDefault="00F428B3" w:rsidP="00E756DE">
      <w:pPr>
        <w:jc w:val="both"/>
      </w:pPr>
    </w:p>
    <w:p w:rsidR="00C41A9A" w:rsidRPr="00E756DE" w:rsidRDefault="00C41A9A" w:rsidP="00E756DE">
      <w:pPr>
        <w:jc w:val="both"/>
        <w:rPr>
          <w:u w:val="single"/>
        </w:rPr>
      </w:pPr>
      <w:r w:rsidRPr="00E756DE">
        <w:rPr>
          <w:b/>
          <w:color w:val="4F81BD" w:themeColor="accent1"/>
          <w:u w:val="single"/>
        </w:rPr>
        <w:lastRenderedPageBreak/>
        <w:t>L’arrêt de travail pour les personnes confinées  </w:t>
      </w:r>
    </w:p>
    <w:p w:rsidR="00C41A9A" w:rsidRPr="00E756DE" w:rsidRDefault="00C41A9A" w:rsidP="00E756DE">
      <w:pPr>
        <w:jc w:val="both"/>
      </w:pPr>
    </w:p>
    <w:p w:rsidR="00C41A9A" w:rsidRPr="00E756DE" w:rsidRDefault="00C41A9A" w:rsidP="00E756DE">
      <w:pPr>
        <w:jc w:val="both"/>
      </w:pPr>
      <w:r w:rsidRPr="00E756DE">
        <w:t xml:space="preserve">Dans ce cas de figure, le salarié n’est pas « malade » mais il a été en contact avec une personne contaminée ou pour laquelle le doute est permis. Ainsi, une décision médicale d’isolement et de maintien à domicile est prise.  </w:t>
      </w:r>
    </w:p>
    <w:p w:rsidR="00C41A9A" w:rsidRPr="00E756DE" w:rsidRDefault="00C41A9A" w:rsidP="00E756DE">
      <w:pPr>
        <w:jc w:val="both"/>
      </w:pPr>
    </w:p>
    <w:p w:rsidR="00C41A9A" w:rsidRPr="00E756DE" w:rsidRDefault="00C41A9A" w:rsidP="00E756DE">
      <w:pPr>
        <w:jc w:val="both"/>
      </w:pPr>
      <w:r w:rsidRPr="00E756DE">
        <w:t>Il s’agit d’un arrêt de travail dérogatoire que le Gouvernement a mis en place par décret</w:t>
      </w:r>
      <w:r w:rsidR="00F428B3" w:rsidRPr="00E756DE">
        <w:t>s</w:t>
      </w:r>
      <w:r w:rsidRPr="00E756DE">
        <w:t>. Le salarié qui fait l’objet de cet arrêt bénéf</w:t>
      </w:r>
      <w:r w:rsidR="00F428B3" w:rsidRPr="00E756DE">
        <w:t xml:space="preserve">iciera des IJSS sans condition </w:t>
      </w:r>
      <w:r w:rsidRPr="00E756DE">
        <w:t xml:space="preserve">d’ouverture ni délai de carence. </w:t>
      </w:r>
    </w:p>
    <w:p w:rsidR="00C41A9A" w:rsidRPr="00E756DE" w:rsidRDefault="00C41A9A" w:rsidP="00E756DE">
      <w:pPr>
        <w:jc w:val="both"/>
      </w:pPr>
    </w:p>
    <w:p w:rsidR="00C41A9A" w:rsidRPr="00E756DE" w:rsidRDefault="00C41A9A" w:rsidP="00E756DE">
      <w:pPr>
        <w:jc w:val="both"/>
      </w:pPr>
      <w:r w:rsidRPr="00E756DE">
        <w:t xml:space="preserve">La durée maximale de versement des IJSS est de 20 jours. </w:t>
      </w:r>
    </w:p>
    <w:p w:rsidR="00C41A9A" w:rsidRPr="00E756DE" w:rsidRDefault="00C41A9A" w:rsidP="00E756DE">
      <w:pPr>
        <w:jc w:val="both"/>
      </w:pPr>
    </w:p>
    <w:p w:rsidR="00C41A9A" w:rsidRPr="00E756DE" w:rsidRDefault="00C41A9A" w:rsidP="00E756DE">
      <w:pPr>
        <w:jc w:val="both"/>
      </w:pPr>
      <w:r w:rsidRPr="00E756DE">
        <w:t xml:space="preserve">L’arrêt de travail de l’assuré doit être établi directement par la CPAM dont dépend l’assuré (et non plus en passant par l’ARS). </w:t>
      </w:r>
    </w:p>
    <w:p w:rsidR="00C41A9A" w:rsidRPr="00E756DE" w:rsidRDefault="00C41A9A" w:rsidP="00E756DE">
      <w:pPr>
        <w:jc w:val="both"/>
      </w:pPr>
    </w:p>
    <w:tbl>
      <w:tblPr>
        <w:tblW w:w="9067"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93"/>
        <w:gridCol w:w="2237"/>
        <w:gridCol w:w="2423"/>
        <w:gridCol w:w="2114"/>
      </w:tblGrid>
      <w:tr w:rsidR="00247896" w:rsidRPr="00E756DE" w:rsidTr="00C71459">
        <w:trPr>
          <w:trHeight w:val="643"/>
          <w:tblCellSpacing w:w="7" w:type="dxa"/>
        </w:trPr>
        <w:tc>
          <w:tcPr>
            <w:tcW w:w="0" w:type="auto"/>
            <w:shd w:val="clear" w:color="auto" w:fill="8DB3E2" w:themeFill="text2" w:themeFillTint="66"/>
            <w:tcMar>
              <w:top w:w="15" w:type="dxa"/>
              <w:left w:w="15" w:type="dxa"/>
              <w:bottom w:w="15" w:type="dxa"/>
              <w:right w:w="15" w:type="dxa"/>
            </w:tcMar>
            <w:vAlign w:val="center"/>
            <w:hideMark/>
          </w:tcPr>
          <w:p w:rsidR="00247896" w:rsidRPr="00E756DE" w:rsidRDefault="00247896" w:rsidP="00E756DE">
            <w:pPr>
              <w:jc w:val="center"/>
              <w:rPr>
                <w:b/>
              </w:rPr>
            </w:pPr>
            <w:r w:rsidRPr="00E756DE">
              <w:rPr>
                <w:b/>
              </w:rPr>
              <w:t>Cas de figure</w:t>
            </w:r>
          </w:p>
        </w:tc>
        <w:tc>
          <w:tcPr>
            <w:tcW w:w="0" w:type="auto"/>
            <w:shd w:val="clear" w:color="auto" w:fill="8DB3E2" w:themeFill="text2" w:themeFillTint="66"/>
            <w:tcMar>
              <w:top w:w="15" w:type="dxa"/>
              <w:left w:w="15" w:type="dxa"/>
              <w:bottom w:w="15" w:type="dxa"/>
              <w:right w:w="15" w:type="dxa"/>
            </w:tcMar>
            <w:vAlign w:val="center"/>
            <w:hideMark/>
          </w:tcPr>
          <w:p w:rsidR="00247896" w:rsidRPr="00E756DE" w:rsidRDefault="00247896" w:rsidP="00E756DE">
            <w:pPr>
              <w:jc w:val="center"/>
              <w:rPr>
                <w:b/>
              </w:rPr>
            </w:pPr>
            <w:r w:rsidRPr="00E756DE">
              <w:rPr>
                <w:b/>
              </w:rPr>
              <w:t>Formalités</w:t>
            </w:r>
          </w:p>
        </w:tc>
        <w:tc>
          <w:tcPr>
            <w:tcW w:w="0" w:type="auto"/>
            <w:shd w:val="clear" w:color="auto" w:fill="8DB3E2" w:themeFill="text2" w:themeFillTint="66"/>
            <w:tcMar>
              <w:top w:w="15" w:type="dxa"/>
              <w:left w:w="15" w:type="dxa"/>
              <w:bottom w:w="15" w:type="dxa"/>
              <w:right w:w="15" w:type="dxa"/>
            </w:tcMar>
            <w:vAlign w:val="center"/>
            <w:hideMark/>
          </w:tcPr>
          <w:p w:rsidR="00247896" w:rsidRPr="00E756DE" w:rsidRDefault="00247896" w:rsidP="00E756DE">
            <w:pPr>
              <w:jc w:val="center"/>
              <w:rPr>
                <w:b/>
              </w:rPr>
            </w:pPr>
            <w:r w:rsidRPr="00E756DE">
              <w:rPr>
                <w:b/>
              </w:rPr>
              <w:t>IJSS</w:t>
            </w:r>
          </w:p>
        </w:tc>
        <w:tc>
          <w:tcPr>
            <w:tcW w:w="2093" w:type="dxa"/>
            <w:shd w:val="clear" w:color="auto" w:fill="8DB3E2" w:themeFill="text2" w:themeFillTint="66"/>
            <w:tcMar>
              <w:top w:w="15" w:type="dxa"/>
              <w:left w:w="15" w:type="dxa"/>
              <w:bottom w:w="15" w:type="dxa"/>
              <w:right w:w="15" w:type="dxa"/>
            </w:tcMar>
            <w:vAlign w:val="center"/>
            <w:hideMark/>
          </w:tcPr>
          <w:p w:rsidR="00247896" w:rsidRPr="00E756DE" w:rsidRDefault="00247896" w:rsidP="00E756DE">
            <w:pPr>
              <w:jc w:val="center"/>
              <w:rPr>
                <w:b/>
              </w:rPr>
            </w:pPr>
            <w:r w:rsidRPr="00E756DE">
              <w:rPr>
                <w:b/>
              </w:rPr>
              <w:t>Indemnisation complémentaire par l’employeur</w:t>
            </w:r>
          </w:p>
        </w:tc>
      </w:tr>
      <w:tr w:rsidR="00247896" w:rsidRPr="00E756DE" w:rsidTr="00C71459">
        <w:trPr>
          <w:tblCellSpacing w:w="7" w:type="dxa"/>
        </w:trPr>
        <w:tc>
          <w:tcPr>
            <w:tcW w:w="0" w:type="auto"/>
            <w:tcMar>
              <w:top w:w="15" w:type="dxa"/>
              <w:left w:w="15" w:type="dxa"/>
              <w:bottom w:w="15" w:type="dxa"/>
              <w:right w:w="15" w:type="dxa"/>
            </w:tcMar>
            <w:vAlign w:val="center"/>
            <w:hideMark/>
          </w:tcPr>
          <w:p w:rsidR="00247896" w:rsidRPr="00E756DE" w:rsidRDefault="00247896" w:rsidP="00E756DE">
            <w:pPr>
              <w:jc w:val="center"/>
            </w:pPr>
            <w:r w:rsidRPr="00E756DE">
              <w:t>Salarié confiné pour cause de suspicion de contamination</w:t>
            </w:r>
          </w:p>
        </w:tc>
        <w:tc>
          <w:tcPr>
            <w:tcW w:w="0" w:type="auto"/>
            <w:tcMar>
              <w:top w:w="15" w:type="dxa"/>
              <w:left w:w="15" w:type="dxa"/>
              <w:bottom w:w="15" w:type="dxa"/>
              <w:right w:w="15" w:type="dxa"/>
            </w:tcMar>
            <w:vAlign w:val="center"/>
            <w:hideMark/>
          </w:tcPr>
          <w:p w:rsidR="00247896" w:rsidRPr="00E756DE" w:rsidRDefault="00884A5B" w:rsidP="00E756DE">
            <w:pPr>
              <w:jc w:val="center"/>
            </w:pPr>
            <w:r w:rsidRPr="00E756DE">
              <w:t>Déclaration en ligne sur le site ameli.fr directement par le salarié</w:t>
            </w:r>
          </w:p>
        </w:tc>
        <w:tc>
          <w:tcPr>
            <w:tcW w:w="0" w:type="auto"/>
            <w:tcMar>
              <w:top w:w="15" w:type="dxa"/>
              <w:left w:w="15" w:type="dxa"/>
              <w:bottom w:w="15" w:type="dxa"/>
              <w:right w:w="15" w:type="dxa"/>
            </w:tcMar>
            <w:vAlign w:val="center"/>
            <w:hideMark/>
          </w:tcPr>
          <w:p w:rsidR="00247896" w:rsidRPr="00E756DE" w:rsidRDefault="00247896" w:rsidP="00E756DE">
            <w:pPr>
              <w:jc w:val="center"/>
            </w:pPr>
            <w:r w:rsidRPr="00E756DE">
              <w:t>Oui</w:t>
            </w:r>
            <w:r w:rsidRPr="00E756DE">
              <w:br/>
              <w:t>Sans délai de carence ni condition d’ancienneté (décret du 31 janvier)</w:t>
            </w:r>
          </w:p>
        </w:tc>
        <w:tc>
          <w:tcPr>
            <w:tcW w:w="2093" w:type="dxa"/>
            <w:tcMar>
              <w:top w:w="15" w:type="dxa"/>
              <w:left w:w="15" w:type="dxa"/>
              <w:bottom w:w="15" w:type="dxa"/>
              <w:right w:w="15" w:type="dxa"/>
            </w:tcMar>
            <w:vAlign w:val="center"/>
            <w:hideMark/>
          </w:tcPr>
          <w:p w:rsidR="00247896" w:rsidRPr="00E756DE" w:rsidRDefault="00247896" w:rsidP="00E756DE">
            <w:pPr>
              <w:jc w:val="center"/>
            </w:pPr>
            <w:r w:rsidRPr="00E756DE">
              <w:t>Oui</w:t>
            </w:r>
            <w:r w:rsidRPr="00E756DE">
              <w:br/>
            </w:r>
          </w:p>
        </w:tc>
      </w:tr>
    </w:tbl>
    <w:p w:rsidR="00C41A9A" w:rsidRPr="00E756DE" w:rsidRDefault="00C41A9A" w:rsidP="00E756DE">
      <w:pPr>
        <w:jc w:val="both"/>
      </w:pPr>
    </w:p>
    <w:p w:rsidR="00247896" w:rsidRPr="00E756DE" w:rsidRDefault="00247896" w:rsidP="00E756DE">
      <w:pPr>
        <w:jc w:val="both"/>
      </w:pPr>
    </w:p>
    <w:p w:rsidR="00C41A9A" w:rsidRPr="00E756DE" w:rsidRDefault="00C41A9A" w:rsidP="00E756DE">
      <w:pPr>
        <w:jc w:val="both"/>
        <w:rPr>
          <w:u w:val="single"/>
        </w:rPr>
      </w:pPr>
      <w:r w:rsidRPr="00E756DE">
        <w:rPr>
          <w:b/>
          <w:color w:val="4F81BD" w:themeColor="accent1"/>
          <w:u w:val="single"/>
        </w:rPr>
        <w:t>L’arrêt de travail pour garde d’enfant</w:t>
      </w:r>
    </w:p>
    <w:p w:rsidR="00C41A9A" w:rsidRPr="00E756DE" w:rsidRDefault="00C41A9A" w:rsidP="00E756DE">
      <w:pPr>
        <w:jc w:val="both"/>
      </w:pPr>
    </w:p>
    <w:p w:rsidR="00C41A9A" w:rsidRPr="00E756DE" w:rsidRDefault="00C41A9A" w:rsidP="00E756DE">
      <w:pPr>
        <w:jc w:val="both"/>
      </w:pPr>
      <w:r w:rsidRPr="00E756DE">
        <w:t>Les personnes concernées sont les parents d’enfants maintenus à domicile dans le cadre des mesures visant à limiter la diffusion du coronavirus.</w:t>
      </w:r>
    </w:p>
    <w:p w:rsidR="00C41A9A" w:rsidRPr="00E756DE" w:rsidRDefault="00C41A9A" w:rsidP="00E756DE">
      <w:pPr>
        <w:jc w:val="both"/>
      </w:pPr>
    </w:p>
    <w:p w:rsidR="00C41A9A" w:rsidRPr="00E756DE" w:rsidRDefault="00C41A9A" w:rsidP="00E756DE">
      <w:pPr>
        <w:jc w:val="both"/>
      </w:pPr>
      <w:r w:rsidRPr="00E756DE">
        <w:t>Seuls les parents d’enfants scolarisé</w:t>
      </w:r>
      <w:r w:rsidR="00744C27" w:rsidRPr="00E756DE">
        <w:t>s</w:t>
      </w:r>
      <w:r w:rsidRPr="00E756DE">
        <w:t xml:space="preserve"> de moins de 16 ans au jour du début de l’arrêt de travail sont concernés par ce dispositif. Le dispositif concerne aussi les parents d’un enfant handicapé entre 16 et 18 ans</w:t>
      </w:r>
      <w:r w:rsidR="00247896" w:rsidRPr="00E756DE">
        <w:t>, avec conditions spécifiques (voir le tableau ci-dessous)</w:t>
      </w:r>
      <w:r w:rsidRPr="00E756DE">
        <w:t xml:space="preserve">. Attention, seul un des deux parents de l’enfant maintenu à domicile (ou l’un des détenteurs de l’autorité parentale) peut se voir délivrer un arrêt de travail </w:t>
      </w:r>
      <w:r w:rsidR="00744C27" w:rsidRPr="00E756DE">
        <w:t>dans le cadre de ce dispositif</w:t>
      </w:r>
    </w:p>
    <w:p w:rsidR="00C41A9A" w:rsidRPr="00E756DE" w:rsidRDefault="00C41A9A" w:rsidP="00E756DE">
      <w:pPr>
        <w:jc w:val="both"/>
      </w:pPr>
    </w:p>
    <w:p w:rsidR="00C41A9A" w:rsidRPr="00E756DE" w:rsidRDefault="00C41A9A" w:rsidP="00E756DE">
      <w:pPr>
        <w:jc w:val="both"/>
      </w:pPr>
      <w:r w:rsidRPr="00E756DE">
        <w:t>Le bénéfice de cet arrêt de travail n’est possible que s’il est démontré qu’aucune autre solution n’est possible. Ainsi, l’entreprise ne doit pas être en situation de mettre, sur cette période, l'employé concerné en télétravail : l'arrêt de travail doit être la seule solution possible.</w:t>
      </w:r>
    </w:p>
    <w:p w:rsidR="00C41A9A" w:rsidRPr="00787607" w:rsidRDefault="00C41A9A" w:rsidP="00E756DE">
      <w:pPr>
        <w:jc w:val="both"/>
      </w:pPr>
      <w:bookmarkStart w:id="0" w:name="_GoBack"/>
    </w:p>
    <w:p w:rsidR="00584F21" w:rsidRPr="00787607" w:rsidRDefault="00584F21" w:rsidP="00E756DE">
      <w:pPr>
        <w:jc w:val="both"/>
      </w:pPr>
      <w:r w:rsidRPr="00787607">
        <w:t>L’arrêt de travail est prévu pour une durée de 1 à 21 jours (durée en jours calendaires, de date à date, et non en jours ouvrés). Le site ameli.fr préciser que si le besoin perdure au-delà de 21 jours, l'employeur pourra réitérer la démarche selon les mêmes modalités.</w:t>
      </w:r>
    </w:p>
    <w:p w:rsidR="00CC5F25" w:rsidRPr="00787607" w:rsidRDefault="00CC5F25" w:rsidP="00E756DE">
      <w:pPr>
        <w:jc w:val="both"/>
      </w:pPr>
    </w:p>
    <w:bookmarkEnd w:id="0"/>
    <w:p w:rsidR="00744C27" w:rsidRPr="00E756DE" w:rsidRDefault="00744C27" w:rsidP="00E756DE">
      <w:pPr>
        <w:jc w:val="both"/>
        <w:rPr>
          <w:b/>
        </w:rPr>
      </w:pPr>
      <w:r w:rsidRPr="00E756DE">
        <w:rPr>
          <w:b/>
        </w:rPr>
        <w:t>Les démarches :</w:t>
      </w:r>
    </w:p>
    <w:p w:rsidR="00744C27" w:rsidRPr="00E756DE" w:rsidRDefault="00744C27" w:rsidP="00E756DE">
      <w:pPr>
        <w:jc w:val="both"/>
        <w:rPr>
          <w:b/>
        </w:rPr>
      </w:pPr>
    </w:p>
    <w:p w:rsidR="00744C27" w:rsidRPr="00E756DE" w:rsidRDefault="00744C27" w:rsidP="00E756DE">
      <w:pPr>
        <w:pStyle w:val="Paragraphedeliste"/>
        <w:numPr>
          <w:ilvl w:val="0"/>
          <w:numId w:val="43"/>
        </w:numPr>
        <w:spacing w:after="0" w:line="240" w:lineRule="auto"/>
        <w:jc w:val="both"/>
        <w:rPr>
          <w:rFonts w:ascii="Arial" w:eastAsiaTheme="minorHAnsi" w:hAnsi="Arial" w:cs="Arial"/>
        </w:rPr>
      </w:pPr>
      <w:r w:rsidRPr="00E756DE">
        <w:rPr>
          <w:rFonts w:ascii="Arial" w:eastAsiaTheme="minorHAnsi" w:hAnsi="Arial" w:cs="Arial"/>
        </w:rPr>
        <w:t xml:space="preserve">l’employeur effectue une déclaration d’arrêt de son salarié sur le site </w:t>
      </w:r>
      <w:hyperlink r:id="rId8" w:history="1">
        <w:r w:rsidRPr="00E756DE">
          <w:rPr>
            <w:rStyle w:val="Lienhypertexte"/>
            <w:rFonts w:ascii="Arial" w:eastAsiaTheme="minorHAnsi" w:hAnsi="Arial" w:cs="Arial"/>
          </w:rPr>
          <w:t>https://declare.ameli.fr</w:t>
        </w:r>
      </w:hyperlink>
      <w:r w:rsidRPr="00E756DE">
        <w:rPr>
          <w:rFonts w:ascii="Arial" w:eastAsiaTheme="minorHAnsi" w:hAnsi="Arial" w:cs="Arial"/>
        </w:rPr>
        <w:t> ;</w:t>
      </w:r>
    </w:p>
    <w:p w:rsidR="00744C27" w:rsidRPr="00E756DE" w:rsidRDefault="00744C27" w:rsidP="00E756DE">
      <w:pPr>
        <w:pStyle w:val="Paragraphedeliste"/>
        <w:numPr>
          <w:ilvl w:val="0"/>
          <w:numId w:val="43"/>
        </w:numPr>
        <w:spacing w:after="0" w:line="240" w:lineRule="auto"/>
        <w:jc w:val="both"/>
        <w:rPr>
          <w:rFonts w:ascii="Arial" w:eastAsiaTheme="minorHAnsi" w:hAnsi="Arial" w:cs="Arial"/>
        </w:rPr>
      </w:pPr>
      <w:r w:rsidRPr="00E756DE">
        <w:rPr>
          <w:rFonts w:ascii="Arial" w:eastAsiaTheme="minorHAnsi" w:hAnsi="Arial" w:cs="Arial"/>
        </w:rPr>
        <w:t>une fois la déclaration effectuée, l’employeur recevra un courriel confirmant la déclaration ;</w:t>
      </w:r>
    </w:p>
    <w:p w:rsidR="00744C27" w:rsidRPr="00E756DE" w:rsidRDefault="00744C27" w:rsidP="00E756DE">
      <w:pPr>
        <w:pStyle w:val="Paragraphedeliste"/>
        <w:numPr>
          <w:ilvl w:val="0"/>
          <w:numId w:val="43"/>
        </w:numPr>
        <w:spacing w:after="0" w:line="240" w:lineRule="auto"/>
        <w:rPr>
          <w:rFonts w:ascii="Arial" w:hAnsi="Arial" w:cs="Arial"/>
        </w:rPr>
      </w:pPr>
      <w:r w:rsidRPr="00E756DE">
        <w:rPr>
          <w:rFonts w:ascii="Arial" w:eastAsiaTheme="minorHAnsi" w:hAnsi="Arial" w:cs="Arial"/>
        </w:rPr>
        <w:lastRenderedPageBreak/>
        <w:t>l’employeur envoie ensuite les éléments nécessaires à la liquidation de l’indemnité journalière selon la procédure habituelle applicable aux arrêts maladie (attestation de salaires</w:t>
      </w:r>
      <w:r w:rsidR="00F428B3" w:rsidRPr="00E756DE">
        <w:rPr>
          <w:rFonts w:ascii="Arial" w:eastAsiaTheme="minorHAnsi" w:hAnsi="Arial" w:cs="Arial"/>
        </w:rPr>
        <w:t> :</w:t>
      </w:r>
      <w:r w:rsidRPr="00E756DE">
        <w:rPr>
          <w:rFonts w:ascii="Arial" w:eastAsiaTheme="minorHAnsi" w:hAnsi="Arial" w:cs="Arial"/>
        </w:rPr>
        <w:t xml:space="preserve"> </w:t>
      </w:r>
      <w:hyperlink r:id="rId9" w:history="1">
        <w:r w:rsidRPr="00E756DE">
          <w:rPr>
            <w:rStyle w:val="Lienhypertexte"/>
            <w:rFonts w:ascii="Arial" w:eastAsiaTheme="minorHAnsi" w:hAnsi="Arial" w:cs="Arial"/>
          </w:rPr>
          <w:t>https://www.ameli.fr/sites/default/files/formualires/107/s3201.pdf</w:t>
        </w:r>
      </w:hyperlink>
      <w:r w:rsidRPr="00E756DE">
        <w:rPr>
          <w:rStyle w:val="Lienhypertexte"/>
          <w:rFonts w:ascii="Arial" w:eastAsiaTheme="minorHAnsi" w:hAnsi="Arial" w:cs="Arial"/>
        </w:rPr>
        <w:t xml:space="preserve"> </w:t>
      </w:r>
      <w:r w:rsidRPr="00E756DE">
        <w:rPr>
          <w:rStyle w:val="Lienhypertexte"/>
          <w:rFonts w:ascii="Arial" w:eastAsiaTheme="minorHAnsi" w:hAnsi="Arial" w:cs="Arial"/>
          <w:b w:val="0"/>
          <w:color w:val="auto"/>
        </w:rPr>
        <w:t>) ;</w:t>
      </w:r>
    </w:p>
    <w:p w:rsidR="00744C27" w:rsidRPr="00E756DE" w:rsidRDefault="00744C27" w:rsidP="00E756DE">
      <w:pPr>
        <w:pStyle w:val="Paragraphedeliste"/>
        <w:numPr>
          <w:ilvl w:val="0"/>
          <w:numId w:val="43"/>
        </w:numPr>
        <w:spacing w:after="0" w:line="240" w:lineRule="auto"/>
        <w:jc w:val="both"/>
        <w:rPr>
          <w:rFonts w:ascii="Arial" w:eastAsiaTheme="minorHAnsi" w:hAnsi="Arial" w:cs="Arial"/>
        </w:rPr>
      </w:pPr>
      <w:r w:rsidRPr="00E756DE">
        <w:rPr>
          <w:rFonts w:ascii="Arial" w:eastAsiaTheme="minorHAnsi" w:hAnsi="Arial" w:cs="Arial"/>
        </w:rPr>
        <w:t xml:space="preserve">les </w:t>
      </w:r>
      <w:r w:rsidR="00F428B3" w:rsidRPr="00E756DE">
        <w:rPr>
          <w:rFonts w:ascii="Arial" w:eastAsiaTheme="minorHAnsi" w:hAnsi="Arial" w:cs="Arial"/>
        </w:rPr>
        <w:t>IJSS</w:t>
      </w:r>
      <w:r w:rsidRPr="00E756DE">
        <w:rPr>
          <w:rFonts w:ascii="Arial" w:eastAsiaTheme="minorHAnsi" w:hAnsi="Arial" w:cs="Arial"/>
        </w:rPr>
        <w:t xml:space="preserve"> pourront être versées pendant toute la durée de fermeture de l’établissement d’accueil de l’enfant.</w:t>
      </w:r>
    </w:p>
    <w:p w:rsidR="00584F21" w:rsidRPr="00E756DE" w:rsidRDefault="00584F21" w:rsidP="00E756DE">
      <w:pPr>
        <w:pStyle w:val="Paragraphedeliste"/>
        <w:spacing w:after="0" w:line="240" w:lineRule="auto"/>
        <w:jc w:val="both"/>
        <w:rPr>
          <w:rFonts w:ascii="Arial" w:eastAsiaTheme="minorHAnsi" w:hAnsi="Arial" w:cs="Arial"/>
        </w:rPr>
      </w:pPr>
    </w:p>
    <w:p w:rsidR="00744C27" w:rsidRPr="00E756DE" w:rsidRDefault="00744C27" w:rsidP="00E756DE">
      <w:pPr>
        <w:jc w:val="both"/>
      </w:pPr>
      <w:r w:rsidRPr="00E756DE">
        <w:t>Le salarié doit au préalable remettre une attestation sur l’honneur dans laquelle il s’engage à respecter les conditions suivantes:</w:t>
      </w:r>
    </w:p>
    <w:p w:rsidR="00744C27" w:rsidRPr="00E756DE" w:rsidRDefault="00744C27" w:rsidP="00E756DE">
      <w:pPr>
        <w:jc w:val="both"/>
      </w:pPr>
    </w:p>
    <w:p w:rsidR="00744C27" w:rsidRPr="00E756DE" w:rsidRDefault="00744C27" w:rsidP="00E756DE">
      <w:pPr>
        <w:pStyle w:val="Paragraphedeliste"/>
        <w:numPr>
          <w:ilvl w:val="0"/>
          <w:numId w:val="43"/>
        </w:numPr>
        <w:spacing w:after="0" w:line="240" w:lineRule="auto"/>
        <w:jc w:val="both"/>
        <w:rPr>
          <w:rFonts w:ascii="Arial" w:eastAsiaTheme="minorHAnsi" w:hAnsi="Arial" w:cs="Arial"/>
        </w:rPr>
      </w:pPr>
      <w:r w:rsidRPr="00E756DE">
        <w:rPr>
          <w:rFonts w:ascii="Arial" w:eastAsiaTheme="minorHAnsi" w:hAnsi="Arial" w:cs="Arial"/>
        </w:rPr>
        <w:t xml:space="preserve">assurer la garde d’un enfant dans les conditions précisées ci-dessus ; </w:t>
      </w:r>
    </w:p>
    <w:p w:rsidR="00744C27" w:rsidRPr="00E756DE" w:rsidRDefault="00744C27" w:rsidP="00E756DE">
      <w:pPr>
        <w:pStyle w:val="Paragraphedeliste"/>
        <w:numPr>
          <w:ilvl w:val="0"/>
          <w:numId w:val="43"/>
        </w:numPr>
        <w:spacing w:after="0" w:line="240" w:lineRule="auto"/>
        <w:jc w:val="both"/>
        <w:rPr>
          <w:rFonts w:ascii="Arial" w:eastAsiaTheme="minorHAnsi" w:hAnsi="Arial" w:cs="Arial"/>
        </w:rPr>
      </w:pPr>
      <w:r w:rsidRPr="00E756DE">
        <w:rPr>
          <w:rFonts w:ascii="Arial" w:eastAsiaTheme="minorHAnsi" w:hAnsi="Arial" w:cs="Arial"/>
        </w:rPr>
        <w:t>être le seul parent de l’enfant qui demande le bénéfice d’un arrêt de travail,</w:t>
      </w:r>
    </w:p>
    <w:p w:rsidR="00C41A9A" w:rsidRPr="00E756DE" w:rsidRDefault="00744C27" w:rsidP="00E756DE">
      <w:pPr>
        <w:pStyle w:val="Paragraphedeliste"/>
        <w:numPr>
          <w:ilvl w:val="0"/>
          <w:numId w:val="43"/>
        </w:numPr>
        <w:spacing w:after="0" w:line="240" w:lineRule="auto"/>
        <w:jc w:val="both"/>
        <w:rPr>
          <w:rFonts w:ascii="Arial" w:eastAsiaTheme="minorHAnsi" w:hAnsi="Arial" w:cs="Arial"/>
        </w:rPr>
      </w:pPr>
      <w:r w:rsidRPr="00E756DE">
        <w:rPr>
          <w:rFonts w:ascii="Arial" w:eastAsiaTheme="minorHAnsi" w:hAnsi="Arial" w:cs="Arial"/>
        </w:rPr>
        <w:t>garder un enfant dont l’établissement scolaire est fermé.</w:t>
      </w:r>
    </w:p>
    <w:p w:rsidR="00584F21" w:rsidRPr="00E756DE" w:rsidRDefault="00584F21" w:rsidP="00E756DE">
      <w:pPr>
        <w:pStyle w:val="Paragraphedeliste"/>
        <w:spacing w:after="0" w:line="240" w:lineRule="auto"/>
        <w:jc w:val="both"/>
        <w:rPr>
          <w:rFonts w:ascii="Arial" w:eastAsiaTheme="minorHAnsi" w:hAnsi="Arial" w:cs="Arial"/>
        </w:rPr>
      </w:pPr>
    </w:p>
    <w:tbl>
      <w:tblPr>
        <w:tblW w:w="9067"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6"/>
        <w:gridCol w:w="2647"/>
        <w:gridCol w:w="2460"/>
        <w:gridCol w:w="2114"/>
      </w:tblGrid>
      <w:tr w:rsidR="00884A5B" w:rsidRPr="00E756DE" w:rsidTr="00C71459">
        <w:trPr>
          <w:trHeight w:val="643"/>
          <w:tblCellSpacing w:w="7" w:type="dxa"/>
        </w:trPr>
        <w:tc>
          <w:tcPr>
            <w:tcW w:w="0" w:type="auto"/>
            <w:shd w:val="clear" w:color="auto" w:fill="8DB3E2" w:themeFill="text2" w:themeFillTint="66"/>
            <w:tcMar>
              <w:top w:w="15" w:type="dxa"/>
              <w:left w:w="15" w:type="dxa"/>
              <w:bottom w:w="15" w:type="dxa"/>
              <w:right w:w="15" w:type="dxa"/>
            </w:tcMar>
            <w:vAlign w:val="center"/>
            <w:hideMark/>
          </w:tcPr>
          <w:p w:rsidR="00247896" w:rsidRPr="00E756DE" w:rsidRDefault="00247896" w:rsidP="00E756DE">
            <w:pPr>
              <w:jc w:val="center"/>
              <w:rPr>
                <w:b/>
              </w:rPr>
            </w:pPr>
            <w:r w:rsidRPr="00E756DE">
              <w:rPr>
                <w:b/>
              </w:rPr>
              <w:t>Cas de figure</w:t>
            </w:r>
          </w:p>
        </w:tc>
        <w:tc>
          <w:tcPr>
            <w:tcW w:w="0" w:type="auto"/>
            <w:shd w:val="clear" w:color="auto" w:fill="8DB3E2" w:themeFill="text2" w:themeFillTint="66"/>
            <w:tcMar>
              <w:top w:w="15" w:type="dxa"/>
              <w:left w:w="15" w:type="dxa"/>
              <w:bottom w:w="15" w:type="dxa"/>
              <w:right w:w="15" w:type="dxa"/>
            </w:tcMar>
            <w:vAlign w:val="center"/>
            <w:hideMark/>
          </w:tcPr>
          <w:p w:rsidR="00247896" w:rsidRPr="00E756DE" w:rsidRDefault="00247896" w:rsidP="00E756DE">
            <w:pPr>
              <w:jc w:val="center"/>
              <w:rPr>
                <w:b/>
              </w:rPr>
            </w:pPr>
            <w:r w:rsidRPr="00E756DE">
              <w:rPr>
                <w:b/>
              </w:rPr>
              <w:t>Formalités</w:t>
            </w:r>
          </w:p>
        </w:tc>
        <w:tc>
          <w:tcPr>
            <w:tcW w:w="0" w:type="auto"/>
            <w:shd w:val="clear" w:color="auto" w:fill="8DB3E2" w:themeFill="text2" w:themeFillTint="66"/>
            <w:tcMar>
              <w:top w:w="15" w:type="dxa"/>
              <w:left w:w="15" w:type="dxa"/>
              <w:bottom w:w="15" w:type="dxa"/>
              <w:right w:w="15" w:type="dxa"/>
            </w:tcMar>
            <w:vAlign w:val="center"/>
            <w:hideMark/>
          </w:tcPr>
          <w:p w:rsidR="00247896" w:rsidRPr="00E756DE" w:rsidRDefault="00247896" w:rsidP="00E756DE">
            <w:pPr>
              <w:jc w:val="center"/>
              <w:rPr>
                <w:b/>
              </w:rPr>
            </w:pPr>
            <w:r w:rsidRPr="00E756DE">
              <w:rPr>
                <w:b/>
              </w:rPr>
              <w:t>IJSS</w:t>
            </w:r>
          </w:p>
        </w:tc>
        <w:tc>
          <w:tcPr>
            <w:tcW w:w="2093" w:type="dxa"/>
            <w:shd w:val="clear" w:color="auto" w:fill="8DB3E2" w:themeFill="text2" w:themeFillTint="66"/>
            <w:tcMar>
              <w:top w:w="15" w:type="dxa"/>
              <w:left w:w="15" w:type="dxa"/>
              <w:bottom w:w="15" w:type="dxa"/>
              <w:right w:w="15" w:type="dxa"/>
            </w:tcMar>
            <w:vAlign w:val="center"/>
            <w:hideMark/>
          </w:tcPr>
          <w:p w:rsidR="00247896" w:rsidRPr="00E756DE" w:rsidRDefault="00247896" w:rsidP="00E756DE">
            <w:pPr>
              <w:jc w:val="center"/>
              <w:rPr>
                <w:b/>
              </w:rPr>
            </w:pPr>
            <w:r w:rsidRPr="00E756DE">
              <w:rPr>
                <w:b/>
              </w:rPr>
              <w:t>Indemnisation complémentaire par l’employeur</w:t>
            </w:r>
          </w:p>
        </w:tc>
      </w:tr>
      <w:tr w:rsidR="00884A5B" w:rsidRPr="00E756DE" w:rsidTr="00C71459">
        <w:trPr>
          <w:tblCellSpacing w:w="7" w:type="dxa"/>
        </w:trPr>
        <w:tc>
          <w:tcPr>
            <w:tcW w:w="0" w:type="auto"/>
            <w:tcMar>
              <w:top w:w="15" w:type="dxa"/>
              <w:left w:w="15" w:type="dxa"/>
              <w:bottom w:w="15" w:type="dxa"/>
              <w:right w:w="15" w:type="dxa"/>
            </w:tcMar>
            <w:vAlign w:val="center"/>
            <w:hideMark/>
          </w:tcPr>
          <w:p w:rsidR="00247896" w:rsidRPr="00E756DE" w:rsidRDefault="00247896" w:rsidP="00E756DE">
            <w:pPr>
              <w:jc w:val="center"/>
            </w:pPr>
            <w:r w:rsidRPr="00E756DE">
              <w:t>Salarié obligé de garder son enfant</w:t>
            </w:r>
          </w:p>
        </w:tc>
        <w:tc>
          <w:tcPr>
            <w:tcW w:w="0" w:type="auto"/>
            <w:tcMar>
              <w:top w:w="15" w:type="dxa"/>
              <w:left w:w="15" w:type="dxa"/>
              <w:bottom w:w="15" w:type="dxa"/>
              <w:right w:w="15" w:type="dxa"/>
            </w:tcMar>
            <w:vAlign w:val="center"/>
            <w:hideMark/>
          </w:tcPr>
          <w:p w:rsidR="00F428B3" w:rsidRPr="00E756DE" w:rsidRDefault="00247896" w:rsidP="00E756DE">
            <w:pPr>
              <w:jc w:val="center"/>
            </w:pPr>
            <w:r w:rsidRPr="00E756DE">
              <w:t xml:space="preserve">Déclaration employeur valant arrêt de travail </w:t>
            </w:r>
          </w:p>
          <w:p w:rsidR="00247896" w:rsidRPr="00E756DE" w:rsidRDefault="00247896" w:rsidP="00E756DE">
            <w:pPr>
              <w:jc w:val="center"/>
            </w:pPr>
            <w:r w:rsidRPr="00E756DE">
              <w:t>+</w:t>
            </w:r>
          </w:p>
          <w:p w:rsidR="00247896" w:rsidRPr="00E756DE" w:rsidRDefault="00247896" w:rsidP="00E756DE">
            <w:pPr>
              <w:jc w:val="center"/>
            </w:pPr>
            <w:r w:rsidRPr="00E756DE">
              <w:t>Attestation salarié</w:t>
            </w:r>
          </w:p>
        </w:tc>
        <w:tc>
          <w:tcPr>
            <w:tcW w:w="0" w:type="auto"/>
            <w:tcMar>
              <w:top w:w="15" w:type="dxa"/>
              <w:left w:w="15" w:type="dxa"/>
              <w:bottom w:w="15" w:type="dxa"/>
              <w:right w:w="15" w:type="dxa"/>
            </w:tcMar>
            <w:vAlign w:val="center"/>
            <w:hideMark/>
          </w:tcPr>
          <w:p w:rsidR="00247896" w:rsidRPr="00E756DE" w:rsidRDefault="00247896" w:rsidP="00E756DE">
            <w:pPr>
              <w:jc w:val="center"/>
            </w:pPr>
            <w:r w:rsidRPr="00E756DE">
              <w:t>Oui</w:t>
            </w:r>
            <w:r w:rsidRPr="00E756DE">
              <w:br/>
              <w:t xml:space="preserve">Sans délai de carence ni condition d’ancienneté (décret du </w:t>
            </w:r>
            <w:r w:rsidR="00884A5B" w:rsidRPr="00E756DE">
              <w:t>9 mars</w:t>
            </w:r>
            <w:r w:rsidRPr="00E756DE">
              <w:t>)</w:t>
            </w:r>
          </w:p>
        </w:tc>
        <w:tc>
          <w:tcPr>
            <w:tcW w:w="2093" w:type="dxa"/>
            <w:tcMar>
              <w:top w:w="15" w:type="dxa"/>
              <w:left w:w="15" w:type="dxa"/>
              <w:bottom w:w="15" w:type="dxa"/>
              <w:right w:w="15" w:type="dxa"/>
            </w:tcMar>
            <w:vAlign w:val="center"/>
            <w:hideMark/>
          </w:tcPr>
          <w:p w:rsidR="00247896" w:rsidRPr="00E756DE" w:rsidRDefault="00247896" w:rsidP="00E756DE">
            <w:pPr>
              <w:jc w:val="center"/>
            </w:pPr>
            <w:r w:rsidRPr="00E756DE">
              <w:t>Oui</w:t>
            </w:r>
            <w:r w:rsidRPr="00E756DE">
              <w:br/>
            </w:r>
          </w:p>
        </w:tc>
      </w:tr>
      <w:tr w:rsidR="00884A5B" w:rsidRPr="00E756DE" w:rsidTr="00C71459">
        <w:trPr>
          <w:tblCellSpacing w:w="7" w:type="dxa"/>
        </w:trPr>
        <w:tc>
          <w:tcPr>
            <w:tcW w:w="0" w:type="auto"/>
            <w:tcMar>
              <w:top w:w="15" w:type="dxa"/>
              <w:left w:w="15" w:type="dxa"/>
              <w:bottom w:w="15" w:type="dxa"/>
              <w:right w:w="15" w:type="dxa"/>
            </w:tcMar>
            <w:vAlign w:val="center"/>
          </w:tcPr>
          <w:p w:rsidR="00884A5B" w:rsidRPr="00E756DE" w:rsidRDefault="00884A5B" w:rsidP="00E756DE">
            <w:pPr>
              <w:jc w:val="center"/>
            </w:pPr>
            <w:r w:rsidRPr="00E756DE">
              <w:t>Salarié obligé de garder son enfant handicapé</w:t>
            </w:r>
          </w:p>
        </w:tc>
        <w:tc>
          <w:tcPr>
            <w:tcW w:w="0" w:type="auto"/>
            <w:tcMar>
              <w:top w:w="15" w:type="dxa"/>
              <w:left w:w="15" w:type="dxa"/>
              <w:bottom w:w="15" w:type="dxa"/>
              <w:right w:w="15" w:type="dxa"/>
            </w:tcMar>
            <w:vAlign w:val="center"/>
          </w:tcPr>
          <w:p w:rsidR="00884A5B" w:rsidRPr="00E756DE" w:rsidRDefault="00884A5B" w:rsidP="00E756DE">
            <w:pPr>
              <w:jc w:val="center"/>
            </w:pPr>
            <w:r w:rsidRPr="00E756DE">
              <w:t xml:space="preserve">Pas de précisions pour l’instant, mais les mêmes formalités devraient s’appliquer </w:t>
            </w:r>
          </w:p>
        </w:tc>
        <w:tc>
          <w:tcPr>
            <w:tcW w:w="0" w:type="auto"/>
            <w:tcMar>
              <w:top w:w="15" w:type="dxa"/>
              <w:left w:w="15" w:type="dxa"/>
              <w:bottom w:w="15" w:type="dxa"/>
              <w:right w:w="15" w:type="dxa"/>
            </w:tcMar>
            <w:vAlign w:val="center"/>
          </w:tcPr>
          <w:p w:rsidR="00884A5B" w:rsidRPr="00E756DE" w:rsidRDefault="00884A5B" w:rsidP="00E756DE">
            <w:pPr>
              <w:jc w:val="center"/>
            </w:pPr>
            <w:r w:rsidRPr="00E756DE">
              <w:t>Oui</w:t>
            </w:r>
            <w:r w:rsidRPr="00E756DE">
              <w:br/>
              <w:t>Sans délai de carence ni condition d’ancienneté (site ameli.fr)</w:t>
            </w:r>
          </w:p>
        </w:tc>
        <w:tc>
          <w:tcPr>
            <w:tcW w:w="2093" w:type="dxa"/>
            <w:tcMar>
              <w:top w:w="15" w:type="dxa"/>
              <w:left w:w="15" w:type="dxa"/>
              <w:bottom w:w="15" w:type="dxa"/>
              <w:right w:w="15" w:type="dxa"/>
            </w:tcMar>
            <w:vAlign w:val="center"/>
          </w:tcPr>
          <w:p w:rsidR="00884A5B" w:rsidRPr="00E756DE" w:rsidRDefault="00884A5B" w:rsidP="00E756DE">
            <w:pPr>
              <w:jc w:val="center"/>
            </w:pPr>
            <w:r w:rsidRPr="00E756DE">
              <w:t>Oui</w:t>
            </w:r>
          </w:p>
        </w:tc>
      </w:tr>
    </w:tbl>
    <w:p w:rsidR="00A55EC7" w:rsidRPr="00E756DE" w:rsidRDefault="00A55EC7" w:rsidP="00E756DE">
      <w:pPr>
        <w:jc w:val="both"/>
      </w:pPr>
    </w:p>
    <w:p w:rsidR="00A55EC7" w:rsidRPr="00E756DE" w:rsidRDefault="00A55EC7" w:rsidP="00E756DE">
      <w:pPr>
        <w:jc w:val="both"/>
      </w:pPr>
    </w:p>
    <w:p w:rsidR="00C41A9A" w:rsidRPr="00E756DE" w:rsidRDefault="00C41A9A" w:rsidP="00E756DE">
      <w:pPr>
        <w:jc w:val="both"/>
        <w:rPr>
          <w:b/>
          <w:color w:val="4F81BD" w:themeColor="accent1"/>
          <w:u w:val="single"/>
        </w:rPr>
      </w:pPr>
      <w:r w:rsidRPr="00E756DE">
        <w:rPr>
          <w:b/>
          <w:color w:val="4F81BD" w:themeColor="accent1"/>
          <w:u w:val="single"/>
        </w:rPr>
        <w:t>L’arrêt de travail pour personne présentant un « risque élevé »</w:t>
      </w:r>
    </w:p>
    <w:p w:rsidR="00C41A9A" w:rsidRPr="00E756DE" w:rsidRDefault="00C41A9A" w:rsidP="00E756DE">
      <w:pPr>
        <w:jc w:val="both"/>
      </w:pPr>
    </w:p>
    <w:p w:rsidR="00C41A9A" w:rsidRPr="00E756DE" w:rsidRDefault="00C41A9A" w:rsidP="00E756DE">
      <w:pPr>
        <w:jc w:val="both"/>
      </w:pPr>
      <w:r w:rsidRPr="00E756DE">
        <w:t>L’Assurance Maladie a étendu le dispositif des a</w:t>
      </w:r>
      <w:r w:rsidR="00F428B3" w:rsidRPr="00E756DE">
        <w:t>rrêts dérogatoires mis en place</w:t>
      </w:r>
      <w:r w:rsidRPr="00E756DE">
        <w:t xml:space="preserve"> dans le cadre de l’épidémie de coronavirus aux personnes présentant un risque élevé. Il s’agit des personnes dont l’état de santé conduit à les considérer comme présentant un risque de développer une forme sévère de la maladie Covid-19. </w:t>
      </w:r>
    </w:p>
    <w:p w:rsidR="00C41A9A" w:rsidRPr="00E756DE" w:rsidRDefault="00C41A9A" w:rsidP="00E756DE">
      <w:pPr>
        <w:jc w:val="both"/>
      </w:pPr>
    </w:p>
    <w:p w:rsidR="00C41A9A" w:rsidRPr="00E756DE" w:rsidRDefault="00C41A9A" w:rsidP="00E756DE">
      <w:pPr>
        <w:jc w:val="both"/>
      </w:pPr>
      <w:r w:rsidRPr="00E756DE">
        <w:t xml:space="preserve">Les personnes concernées doivent impérativement rester à domicile, en arrêt de travail, si elles ne peuvent avoir recours au télétravail. Elles peuvent désormais se connecter directement, sans passer par leur employeur ni par leur médecin traitant, sur le site </w:t>
      </w:r>
      <w:hyperlink r:id="rId10" w:history="1">
        <w:r w:rsidRPr="00E756DE">
          <w:rPr>
            <w:rStyle w:val="Lienhypertexte"/>
          </w:rPr>
          <w:t>declare.ameli.fr</w:t>
        </w:r>
      </w:hyperlink>
      <w:r w:rsidRPr="00E756DE">
        <w:t xml:space="preserve"> pour demander à être mises en arrêt de travail pour une durée initiale de 21 jours.</w:t>
      </w:r>
    </w:p>
    <w:p w:rsidR="00C41A9A" w:rsidRPr="00E756DE" w:rsidRDefault="00C41A9A" w:rsidP="00E756DE">
      <w:pPr>
        <w:jc w:val="both"/>
      </w:pPr>
    </w:p>
    <w:p w:rsidR="00C41A9A" w:rsidRPr="00E756DE" w:rsidRDefault="00C41A9A" w:rsidP="00E756DE">
      <w:r w:rsidRPr="00E756DE">
        <w:t xml:space="preserve">Les personnes concernées par ce dispositif sont : </w:t>
      </w:r>
    </w:p>
    <w:p w:rsidR="00C41A9A" w:rsidRPr="00E756DE" w:rsidRDefault="00C41A9A" w:rsidP="00E756DE">
      <w:pPr>
        <w:pStyle w:val="Paragraphedeliste"/>
        <w:numPr>
          <w:ilvl w:val="0"/>
          <w:numId w:val="40"/>
        </w:numPr>
        <w:spacing w:after="0" w:line="240" w:lineRule="auto"/>
        <w:rPr>
          <w:rFonts w:ascii="Arial" w:hAnsi="Arial" w:cs="Arial"/>
        </w:rPr>
      </w:pPr>
      <w:r w:rsidRPr="00E756DE">
        <w:rPr>
          <w:rFonts w:ascii="Arial" w:hAnsi="Arial" w:cs="Arial"/>
        </w:rPr>
        <w:t xml:space="preserve">les femmes enceintes ; </w:t>
      </w:r>
    </w:p>
    <w:p w:rsidR="00C41A9A" w:rsidRPr="00E756DE" w:rsidRDefault="00C41A9A" w:rsidP="00E756DE">
      <w:pPr>
        <w:pStyle w:val="Paragraphedeliste"/>
        <w:numPr>
          <w:ilvl w:val="0"/>
          <w:numId w:val="40"/>
        </w:numPr>
        <w:spacing w:after="0" w:line="240" w:lineRule="auto"/>
        <w:rPr>
          <w:rFonts w:ascii="Arial" w:hAnsi="Arial" w:cs="Arial"/>
        </w:rPr>
      </w:pPr>
      <w:r w:rsidRPr="00E756DE">
        <w:rPr>
          <w:rFonts w:ascii="Arial" w:hAnsi="Arial" w:cs="Arial"/>
        </w:rPr>
        <w:t xml:space="preserve">les personnes atteintes de maladies respiratoires chroniques ; </w:t>
      </w:r>
    </w:p>
    <w:p w:rsidR="00C41A9A" w:rsidRPr="00E756DE" w:rsidRDefault="00C41A9A" w:rsidP="00E756DE">
      <w:pPr>
        <w:pStyle w:val="Paragraphedeliste"/>
        <w:numPr>
          <w:ilvl w:val="0"/>
          <w:numId w:val="40"/>
        </w:numPr>
        <w:spacing w:after="0" w:line="240" w:lineRule="auto"/>
        <w:rPr>
          <w:rFonts w:ascii="Arial" w:hAnsi="Arial" w:cs="Arial"/>
        </w:rPr>
      </w:pPr>
      <w:r w:rsidRPr="00E756DE">
        <w:rPr>
          <w:rFonts w:ascii="Arial" w:hAnsi="Arial" w:cs="Arial"/>
        </w:rPr>
        <w:t xml:space="preserve">les personnes atteintes de mucoviscidose ; </w:t>
      </w:r>
    </w:p>
    <w:p w:rsidR="00C41A9A" w:rsidRPr="00E756DE" w:rsidRDefault="00C41A9A" w:rsidP="00E756DE">
      <w:pPr>
        <w:pStyle w:val="Paragraphedeliste"/>
        <w:numPr>
          <w:ilvl w:val="0"/>
          <w:numId w:val="40"/>
        </w:numPr>
        <w:spacing w:after="0" w:line="240" w:lineRule="auto"/>
        <w:rPr>
          <w:rFonts w:ascii="Arial" w:hAnsi="Arial" w:cs="Arial"/>
        </w:rPr>
      </w:pPr>
      <w:r w:rsidRPr="00E756DE">
        <w:rPr>
          <w:rFonts w:ascii="Arial" w:hAnsi="Arial" w:cs="Arial"/>
        </w:rPr>
        <w:t xml:space="preserve">les personnes atteintes d’insuffisances cardiaques ; </w:t>
      </w:r>
    </w:p>
    <w:p w:rsidR="00C41A9A" w:rsidRPr="00E756DE" w:rsidRDefault="00C41A9A" w:rsidP="00E756DE">
      <w:pPr>
        <w:pStyle w:val="Paragraphedeliste"/>
        <w:numPr>
          <w:ilvl w:val="0"/>
          <w:numId w:val="40"/>
        </w:numPr>
        <w:spacing w:after="0" w:line="240" w:lineRule="auto"/>
        <w:rPr>
          <w:rFonts w:ascii="Arial" w:hAnsi="Arial" w:cs="Arial"/>
        </w:rPr>
      </w:pPr>
      <w:r w:rsidRPr="00E756DE">
        <w:rPr>
          <w:rFonts w:ascii="Arial" w:hAnsi="Arial" w:cs="Arial"/>
        </w:rPr>
        <w:t xml:space="preserve">les personnes atteintes de maladies des coronaires ; </w:t>
      </w:r>
    </w:p>
    <w:p w:rsidR="00C41A9A" w:rsidRPr="00E756DE" w:rsidRDefault="00C41A9A" w:rsidP="00E756DE">
      <w:pPr>
        <w:pStyle w:val="Paragraphedeliste"/>
        <w:numPr>
          <w:ilvl w:val="0"/>
          <w:numId w:val="40"/>
        </w:numPr>
        <w:spacing w:after="0" w:line="240" w:lineRule="auto"/>
        <w:rPr>
          <w:rFonts w:ascii="Arial" w:hAnsi="Arial" w:cs="Arial"/>
        </w:rPr>
      </w:pPr>
      <w:r w:rsidRPr="00E756DE">
        <w:rPr>
          <w:rFonts w:ascii="Arial" w:hAnsi="Arial" w:cs="Arial"/>
        </w:rPr>
        <w:t xml:space="preserve">les personnes avec antécédents d’accident vasculaire cérébral ; </w:t>
      </w:r>
    </w:p>
    <w:p w:rsidR="00C41A9A" w:rsidRPr="00E756DE" w:rsidRDefault="00C41A9A" w:rsidP="00E756DE">
      <w:pPr>
        <w:pStyle w:val="Paragraphedeliste"/>
        <w:numPr>
          <w:ilvl w:val="0"/>
          <w:numId w:val="40"/>
        </w:numPr>
        <w:spacing w:after="0" w:line="240" w:lineRule="auto"/>
        <w:rPr>
          <w:rFonts w:ascii="Arial" w:hAnsi="Arial" w:cs="Arial"/>
        </w:rPr>
      </w:pPr>
      <w:r w:rsidRPr="00E756DE">
        <w:rPr>
          <w:rFonts w:ascii="Arial" w:hAnsi="Arial" w:cs="Arial"/>
        </w:rPr>
        <w:t xml:space="preserve">les personnes souffrant d’hypertension artérielle ; </w:t>
      </w:r>
    </w:p>
    <w:p w:rsidR="00C41A9A" w:rsidRPr="00E756DE" w:rsidRDefault="00C41A9A" w:rsidP="00E756DE">
      <w:pPr>
        <w:pStyle w:val="Paragraphedeliste"/>
        <w:numPr>
          <w:ilvl w:val="0"/>
          <w:numId w:val="40"/>
        </w:numPr>
        <w:spacing w:after="0" w:line="240" w:lineRule="auto"/>
        <w:rPr>
          <w:rFonts w:ascii="Arial" w:hAnsi="Arial" w:cs="Arial"/>
        </w:rPr>
      </w:pPr>
      <w:r w:rsidRPr="00E756DE">
        <w:rPr>
          <w:rFonts w:ascii="Arial" w:hAnsi="Arial" w:cs="Arial"/>
        </w:rPr>
        <w:t xml:space="preserve">les personnes atteintes d’insuffisance rénale chronique dialysée ; </w:t>
      </w:r>
    </w:p>
    <w:p w:rsidR="00C41A9A" w:rsidRPr="00E756DE" w:rsidRDefault="00C41A9A" w:rsidP="00E756DE">
      <w:pPr>
        <w:pStyle w:val="Paragraphedeliste"/>
        <w:numPr>
          <w:ilvl w:val="0"/>
          <w:numId w:val="40"/>
        </w:numPr>
        <w:spacing w:after="0" w:line="240" w:lineRule="auto"/>
        <w:rPr>
          <w:rFonts w:ascii="Arial" w:hAnsi="Arial" w:cs="Arial"/>
        </w:rPr>
      </w:pPr>
      <w:r w:rsidRPr="00E756DE">
        <w:rPr>
          <w:rFonts w:ascii="Arial" w:hAnsi="Arial" w:cs="Arial"/>
        </w:rPr>
        <w:lastRenderedPageBreak/>
        <w:t xml:space="preserve">les personnes atteintes de Diabète de type 1 insulinodépendant et de diabète de type 2 ; </w:t>
      </w:r>
    </w:p>
    <w:p w:rsidR="00C41A9A" w:rsidRPr="00E756DE" w:rsidRDefault="00C41A9A" w:rsidP="00E756DE">
      <w:pPr>
        <w:pStyle w:val="Paragraphedeliste"/>
        <w:numPr>
          <w:ilvl w:val="0"/>
          <w:numId w:val="40"/>
        </w:numPr>
        <w:spacing w:after="0" w:line="240" w:lineRule="auto"/>
        <w:rPr>
          <w:rFonts w:ascii="Arial" w:hAnsi="Arial" w:cs="Arial"/>
        </w:rPr>
      </w:pPr>
      <w:r w:rsidRPr="00E756DE">
        <w:rPr>
          <w:rFonts w:ascii="Arial" w:hAnsi="Arial" w:cs="Arial"/>
        </w:rPr>
        <w:t xml:space="preserve">les personnes avec une immunodépression ; </w:t>
      </w:r>
    </w:p>
    <w:p w:rsidR="00C41A9A" w:rsidRPr="00E756DE" w:rsidRDefault="00C41A9A" w:rsidP="00E756DE">
      <w:pPr>
        <w:pStyle w:val="Paragraphedeliste"/>
        <w:numPr>
          <w:ilvl w:val="0"/>
          <w:numId w:val="40"/>
        </w:numPr>
        <w:spacing w:after="0" w:line="240" w:lineRule="auto"/>
        <w:rPr>
          <w:rFonts w:ascii="Arial" w:hAnsi="Arial" w:cs="Arial"/>
        </w:rPr>
      </w:pPr>
      <w:r w:rsidRPr="00E756DE">
        <w:rPr>
          <w:rFonts w:ascii="Arial" w:hAnsi="Arial" w:cs="Arial"/>
        </w:rPr>
        <w:t xml:space="preserve">les personnes atteintes de maladie hépatique chronique avec cirrhose ; </w:t>
      </w:r>
    </w:p>
    <w:p w:rsidR="00C41A9A" w:rsidRPr="00E756DE" w:rsidRDefault="00C41A9A" w:rsidP="00E756DE">
      <w:pPr>
        <w:pStyle w:val="Paragraphedeliste"/>
        <w:numPr>
          <w:ilvl w:val="0"/>
          <w:numId w:val="40"/>
        </w:numPr>
        <w:spacing w:after="0" w:line="240" w:lineRule="auto"/>
        <w:rPr>
          <w:rFonts w:ascii="Arial" w:hAnsi="Arial" w:cs="Arial"/>
        </w:rPr>
      </w:pPr>
      <w:r w:rsidRPr="00E756DE">
        <w:rPr>
          <w:rFonts w:ascii="Arial" w:hAnsi="Arial" w:cs="Arial"/>
        </w:rPr>
        <w:t>les personnes présentant une obésité avec un indice de masse corporelle égal ou supérieur à 40.</w:t>
      </w:r>
    </w:p>
    <w:p w:rsidR="00C41A9A" w:rsidRPr="00E756DE" w:rsidRDefault="00C41A9A" w:rsidP="00E756DE">
      <w:r w:rsidRPr="00E756DE">
        <w:t>Ces arrêts pourront être déclarés rétroactivement à la date du vendredi 13 mars</w:t>
      </w:r>
      <w:r w:rsidR="00F428B3" w:rsidRPr="00E756DE">
        <w:t xml:space="preserve"> 2020</w:t>
      </w:r>
      <w:r w:rsidRPr="00E756DE">
        <w:t>.</w:t>
      </w:r>
    </w:p>
    <w:p w:rsidR="00C41A9A" w:rsidRPr="00E756DE" w:rsidRDefault="00C41A9A" w:rsidP="00E756DE">
      <w:pPr>
        <w:jc w:val="both"/>
      </w:pPr>
    </w:p>
    <w:p w:rsidR="00A55EC7" w:rsidRPr="00E756DE" w:rsidRDefault="00A55EC7" w:rsidP="00E756DE">
      <w:pPr>
        <w:jc w:val="both"/>
      </w:pPr>
      <w:r w:rsidRPr="00E756DE">
        <w:t xml:space="preserve">Une fois la déclaration effectuée, l’employeur recevra un courriel confirmant la déclaration. Il envoie ensuite les éléments nécessaires à la liquidation de l’indemnité journalière selon la procédure habituelle applicable aux arrêts maladie (attestation de salaires </w:t>
      </w:r>
      <w:hyperlink r:id="rId11" w:history="1">
        <w:r w:rsidRPr="00E756DE">
          <w:rPr>
            <w:rStyle w:val="Lienhypertexte"/>
          </w:rPr>
          <w:t>https://www.ameli.fr/sites/default/files/formualires/107/s3201.pdf</w:t>
        </w:r>
      </w:hyperlink>
      <w:r w:rsidRPr="00E756DE">
        <w:rPr>
          <w:rStyle w:val="Lienhypertexte"/>
        </w:rPr>
        <w:t xml:space="preserve"> </w:t>
      </w:r>
      <w:r w:rsidRPr="00E756DE">
        <w:rPr>
          <w:rStyle w:val="Lienhypertexte"/>
          <w:b w:val="0"/>
          <w:color w:val="auto"/>
        </w:rPr>
        <w:t>) ;</w:t>
      </w:r>
    </w:p>
    <w:p w:rsidR="00C41A9A" w:rsidRPr="00E756DE" w:rsidRDefault="00C41A9A" w:rsidP="00E756DE">
      <w:pPr>
        <w:jc w:val="both"/>
      </w:pPr>
    </w:p>
    <w:p w:rsidR="00A55EC7" w:rsidRPr="00E756DE" w:rsidRDefault="00A55EC7" w:rsidP="00E756DE">
      <w:pPr>
        <w:jc w:val="both"/>
      </w:pPr>
      <w:r w:rsidRPr="00E756DE">
        <w:t>L’arrêt de travail est d’une durée initiale de 21 jours.</w:t>
      </w:r>
    </w:p>
    <w:p w:rsidR="00884A5B" w:rsidRPr="00E756DE" w:rsidRDefault="00884A5B" w:rsidP="00E756DE">
      <w:pPr>
        <w:jc w:val="both"/>
      </w:pPr>
    </w:p>
    <w:tbl>
      <w:tblPr>
        <w:tblW w:w="9067"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7"/>
        <w:gridCol w:w="2567"/>
        <w:gridCol w:w="2569"/>
        <w:gridCol w:w="2114"/>
      </w:tblGrid>
      <w:tr w:rsidR="00884A5B" w:rsidRPr="00E756DE" w:rsidTr="00C71459">
        <w:trPr>
          <w:trHeight w:val="643"/>
          <w:tblCellSpacing w:w="7" w:type="dxa"/>
        </w:trPr>
        <w:tc>
          <w:tcPr>
            <w:tcW w:w="0" w:type="auto"/>
            <w:shd w:val="clear" w:color="auto" w:fill="8DB3E2" w:themeFill="text2" w:themeFillTint="66"/>
            <w:tcMar>
              <w:top w:w="15" w:type="dxa"/>
              <w:left w:w="15" w:type="dxa"/>
              <w:bottom w:w="15" w:type="dxa"/>
              <w:right w:w="15" w:type="dxa"/>
            </w:tcMar>
            <w:vAlign w:val="center"/>
            <w:hideMark/>
          </w:tcPr>
          <w:p w:rsidR="00884A5B" w:rsidRPr="00E756DE" w:rsidRDefault="00A55EC7" w:rsidP="00E756DE">
            <w:pPr>
              <w:jc w:val="center"/>
              <w:rPr>
                <w:b/>
              </w:rPr>
            </w:pPr>
            <w:r w:rsidRPr="00E756DE">
              <w:t xml:space="preserve"> </w:t>
            </w:r>
            <w:r w:rsidR="00884A5B" w:rsidRPr="00E756DE">
              <w:rPr>
                <w:b/>
              </w:rPr>
              <w:t>Cas de figure</w:t>
            </w:r>
          </w:p>
        </w:tc>
        <w:tc>
          <w:tcPr>
            <w:tcW w:w="0" w:type="auto"/>
            <w:shd w:val="clear" w:color="auto" w:fill="8DB3E2" w:themeFill="text2" w:themeFillTint="66"/>
            <w:tcMar>
              <w:top w:w="15" w:type="dxa"/>
              <w:left w:w="15" w:type="dxa"/>
              <w:bottom w:w="15" w:type="dxa"/>
              <w:right w:w="15" w:type="dxa"/>
            </w:tcMar>
            <w:vAlign w:val="center"/>
            <w:hideMark/>
          </w:tcPr>
          <w:p w:rsidR="00884A5B" w:rsidRPr="00E756DE" w:rsidRDefault="00884A5B" w:rsidP="00E756DE">
            <w:pPr>
              <w:jc w:val="center"/>
              <w:rPr>
                <w:b/>
              </w:rPr>
            </w:pPr>
            <w:r w:rsidRPr="00E756DE">
              <w:rPr>
                <w:b/>
              </w:rPr>
              <w:t>Formalités</w:t>
            </w:r>
          </w:p>
        </w:tc>
        <w:tc>
          <w:tcPr>
            <w:tcW w:w="0" w:type="auto"/>
            <w:shd w:val="clear" w:color="auto" w:fill="8DB3E2" w:themeFill="text2" w:themeFillTint="66"/>
            <w:tcMar>
              <w:top w:w="15" w:type="dxa"/>
              <w:left w:w="15" w:type="dxa"/>
              <w:bottom w:w="15" w:type="dxa"/>
              <w:right w:w="15" w:type="dxa"/>
            </w:tcMar>
            <w:vAlign w:val="center"/>
            <w:hideMark/>
          </w:tcPr>
          <w:p w:rsidR="00884A5B" w:rsidRPr="00E756DE" w:rsidRDefault="00884A5B" w:rsidP="00E756DE">
            <w:pPr>
              <w:jc w:val="center"/>
              <w:rPr>
                <w:b/>
              </w:rPr>
            </w:pPr>
            <w:r w:rsidRPr="00E756DE">
              <w:rPr>
                <w:b/>
              </w:rPr>
              <w:t>IJSS</w:t>
            </w:r>
          </w:p>
        </w:tc>
        <w:tc>
          <w:tcPr>
            <w:tcW w:w="2093" w:type="dxa"/>
            <w:shd w:val="clear" w:color="auto" w:fill="8DB3E2" w:themeFill="text2" w:themeFillTint="66"/>
            <w:tcMar>
              <w:top w:w="15" w:type="dxa"/>
              <w:left w:w="15" w:type="dxa"/>
              <w:bottom w:w="15" w:type="dxa"/>
              <w:right w:w="15" w:type="dxa"/>
            </w:tcMar>
            <w:vAlign w:val="center"/>
            <w:hideMark/>
          </w:tcPr>
          <w:p w:rsidR="00884A5B" w:rsidRPr="00E756DE" w:rsidRDefault="00884A5B" w:rsidP="00E756DE">
            <w:pPr>
              <w:jc w:val="center"/>
              <w:rPr>
                <w:b/>
              </w:rPr>
            </w:pPr>
            <w:r w:rsidRPr="00E756DE">
              <w:rPr>
                <w:b/>
              </w:rPr>
              <w:t>Indemnisation complémentaire par l’employeur</w:t>
            </w:r>
          </w:p>
        </w:tc>
      </w:tr>
      <w:tr w:rsidR="00884A5B" w:rsidRPr="00E756DE" w:rsidTr="00C71459">
        <w:trPr>
          <w:tblCellSpacing w:w="7" w:type="dxa"/>
        </w:trPr>
        <w:tc>
          <w:tcPr>
            <w:tcW w:w="0" w:type="auto"/>
            <w:tcMar>
              <w:top w:w="15" w:type="dxa"/>
              <w:left w:w="15" w:type="dxa"/>
              <w:bottom w:w="15" w:type="dxa"/>
              <w:right w:w="15" w:type="dxa"/>
            </w:tcMar>
            <w:vAlign w:val="center"/>
            <w:hideMark/>
          </w:tcPr>
          <w:p w:rsidR="00884A5B" w:rsidRPr="00E756DE" w:rsidRDefault="00884A5B" w:rsidP="00E756DE">
            <w:pPr>
              <w:jc w:val="center"/>
            </w:pPr>
            <w:r w:rsidRPr="00E756DE">
              <w:t>Salarié présentant un « risque élevé »</w:t>
            </w:r>
          </w:p>
        </w:tc>
        <w:tc>
          <w:tcPr>
            <w:tcW w:w="0" w:type="auto"/>
            <w:tcMar>
              <w:top w:w="15" w:type="dxa"/>
              <w:left w:w="15" w:type="dxa"/>
              <w:bottom w:w="15" w:type="dxa"/>
              <w:right w:w="15" w:type="dxa"/>
            </w:tcMar>
            <w:vAlign w:val="center"/>
            <w:hideMark/>
          </w:tcPr>
          <w:p w:rsidR="00884A5B" w:rsidRPr="00E756DE" w:rsidRDefault="00884A5B" w:rsidP="00E756DE">
            <w:pPr>
              <w:jc w:val="center"/>
            </w:pPr>
            <w:r w:rsidRPr="00E756DE">
              <w:t>Déclaration en ligne sur le site ameli.fr directement par le salarié</w:t>
            </w:r>
          </w:p>
        </w:tc>
        <w:tc>
          <w:tcPr>
            <w:tcW w:w="0" w:type="auto"/>
            <w:tcMar>
              <w:top w:w="15" w:type="dxa"/>
              <w:left w:w="15" w:type="dxa"/>
              <w:bottom w:w="15" w:type="dxa"/>
              <w:right w:w="15" w:type="dxa"/>
            </w:tcMar>
            <w:vAlign w:val="center"/>
            <w:hideMark/>
          </w:tcPr>
          <w:p w:rsidR="00884A5B" w:rsidRPr="00E756DE" w:rsidRDefault="00884A5B" w:rsidP="00E756DE">
            <w:pPr>
              <w:jc w:val="center"/>
            </w:pPr>
            <w:r w:rsidRPr="00E756DE">
              <w:t>Oui</w:t>
            </w:r>
            <w:r w:rsidRPr="00E756DE">
              <w:br/>
              <w:t>Sans délai de carence ni condition d’ancienneté (site ameli.fr)</w:t>
            </w:r>
          </w:p>
        </w:tc>
        <w:tc>
          <w:tcPr>
            <w:tcW w:w="2093" w:type="dxa"/>
            <w:tcMar>
              <w:top w:w="15" w:type="dxa"/>
              <w:left w:w="15" w:type="dxa"/>
              <w:bottom w:w="15" w:type="dxa"/>
              <w:right w:w="15" w:type="dxa"/>
            </w:tcMar>
            <w:vAlign w:val="center"/>
            <w:hideMark/>
          </w:tcPr>
          <w:p w:rsidR="00884A5B" w:rsidRPr="00E756DE" w:rsidRDefault="00884A5B" w:rsidP="00E756DE">
            <w:pPr>
              <w:jc w:val="center"/>
            </w:pPr>
            <w:r w:rsidRPr="00E756DE">
              <w:t>Oui</w:t>
            </w:r>
            <w:r w:rsidRPr="00E756DE">
              <w:br/>
            </w:r>
          </w:p>
        </w:tc>
      </w:tr>
    </w:tbl>
    <w:p w:rsidR="00A55EC7" w:rsidRPr="00E756DE" w:rsidRDefault="00A55EC7" w:rsidP="00E756DE">
      <w:pPr>
        <w:jc w:val="both"/>
      </w:pPr>
    </w:p>
    <w:p w:rsidR="00A55EC7" w:rsidRPr="00E756DE" w:rsidRDefault="00A55EC7" w:rsidP="00E756DE">
      <w:pPr>
        <w:jc w:val="both"/>
      </w:pPr>
    </w:p>
    <w:p w:rsidR="00A55EC7" w:rsidRPr="00E756DE" w:rsidRDefault="00A55EC7" w:rsidP="00E756DE">
      <w:pPr>
        <w:jc w:val="both"/>
      </w:pPr>
    </w:p>
    <w:p w:rsidR="00C41A9A" w:rsidRPr="00CC5F25" w:rsidRDefault="00C41A9A" w:rsidP="00CC5F25">
      <w:pPr>
        <w:jc w:val="both"/>
        <w:rPr>
          <w:rFonts w:eastAsia="Calibri"/>
        </w:rPr>
      </w:pPr>
      <w:r w:rsidRPr="00CC5F25">
        <w:t xml:space="preserve">Contact : Conseil en droit social, Charles </w:t>
      </w:r>
      <w:proofErr w:type="spellStart"/>
      <w:r w:rsidRPr="00CC5F25">
        <w:t>Guyonvarch</w:t>
      </w:r>
      <w:proofErr w:type="spellEnd"/>
      <w:r w:rsidRPr="00CC5F25">
        <w:t>, 01 40 55 11 10</w:t>
      </w:r>
    </w:p>
    <w:p w:rsidR="00A62CAB" w:rsidRPr="00C032FD" w:rsidRDefault="00A62CAB" w:rsidP="00C41A9A">
      <w:pPr>
        <w:spacing w:after="160" w:line="259" w:lineRule="auto"/>
        <w:jc w:val="center"/>
      </w:pPr>
    </w:p>
    <w:sectPr w:rsidR="00A62CAB" w:rsidRPr="00C032FD" w:rsidSect="00C37B91">
      <w:headerReference w:type="default" r:id="rId12"/>
      <w:footerReference w:type="default" r:id="rId13"/>
      <w:pgSz w:w="11906" w:h="16838"/>
      <w:pgMar w:top="156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004" w:rsidRDefault="00D90004" w:rsidP="00CC200B">
      <w:r>
        <w:separator/>
      </w:r>
    </w:p>
  </w:endnote>
  <w:endnote w:type="continuationSeparator" w:id="0">
    <w:p w:rsidR="00D90004" w:rsidRDefault="00D90004" w:rsidP="00CC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B91" w:rsidRPr="003552EF" w:rsidRDefault="003779CB" w:rsidP="00C37B91">
    <w:pPr>
      <w:pStyle w:val="Pieddepage"/>
      <w:jc w:val="right"/>
    </w:pPr>
    <w:r w:rsidRPr="003552EF">
      <w:rPr>
        <w:bCs/>
      </w:rPr>
      <w:fldChar w:fldCharType="begin"/>
    </w:r>
    <w:r w:rsidR="00C37B91" w:rsidRPr="003552EF">
      <w:rPr>
        <w:bCs/>
      </w:rPr>
      <w:instrText>PAGE</w:instrText>
    </w:r>
    <w:r w:rsidRPr="003552EF">
      <w:rPr>
        <w:bCs/>
      </w:rPr>
      <w:fldChar w:fldCharType="separate"/>
    </w:r>
    <w:r w:rsidR="00787607">
      <w:rPr>
        <w:bCs/>
        <w:noProof/>
      </w:rPr>
      <w:t>4</w:t>
    </w:r>
    <w:r w:rsidRPr="003552EF">
      <w:rPr>
        <w:bCs/>
      </w:rPr>
      <w:fldChar w:fldCharType="end"/>
    </w:r>
    <w:r w:rsidR="00C37B91" w:rsidRPr="003552EF">
      <w:t xml:space="preserve"> / </w:t>
    </w:r>
    <w:r w:rsidRPr="003552EF">
      <w:rPr>
        <w:bCs/>
      </w:rPr>
      <w:fldChar w:fldCharType="begin"/>
    </w:r>
    <w:r w:rsidR="00C37B91" w:rsidRPr="003552EF">
      <w:rPr>
        <w:bCs/>
      </w:rPr>
      <w:instrText>NUMPAGES</w:instrText>
    </w:r>
    <w:r w:rsidRPr="003552EF">
      <w:rPr>
        <w:bCs/>
      </w:rPr>
      <w:fldChar w:fldCharType="separate"/>
    </w:r>
    <w:r w:rsidR="00787607">
      <w:rPr>
        <w:bCs/>
        <w:noProof/>
      </w:rPr>
      <w:t>4</w:t>
    </w:r>
    <w:r w:rsidRPr="003552EF">
      <w:rPr>
        <w:bCs/>
      </w:rPr>
      <w:fldChar w:fldCharType="end"/>
    </w:r>
  </w:p>
  <w:p w:rsidR="00C37B91" w:rsidRPr="00A73F47" w:rsidRDefault="00C37B91" w:rsidP="00C37B91">
    <w:pPr>
      <w:rPr>
        <w:b/>
        <w:bCs/>
        <w:color w:val="7F7F7F"/>
        <w:sz w:val="16"/>
        <w:szCs w:val="16"/>
      </w:rPr>
    </w:pPr>
    <w:r w:rsidRPr="00A73F47">
      <w:rPr>
        <w:b/>
        <w:bCs/>
        <w:color w:val="7F7F7F"/>
        <w:sz w:val="16"/>
        <w:szCs w:val="16"/>
      </w:rPr>
      <w:t>FFB GRAND PARIS</w:t>
    </w:r>
  </w:p>
  <w:p w:rsidR="00C37B91" w:rsidRPr="00A73F47" w:rsidRDefault="00C37B91" w:rsidP="00C37B91">
    <w:pPr>
      <w:rPr>
        <w:b/>
        <w:bCs/>
        <w:color w:val="7F7F7F"/>
        <w:sz w:val="16"/>
        <w:szCs w:val="16"/>
      </w:rPr>
    </w:pPr>
    <w:r w:rsidRPr="00A73F47">
      <w:rPr>
        <w:b/>
        <w:bCs/>
        <w:color w:val="7F7F7F"/>
        <w:sz w:val="16"/>
        <w:szCs w:val="16"/>
      </w:rPr>
      <w:t xml:space="preserve">Direction des Affaires </w:t>
    </w:r>
    <w:r w:rsidR="00932040">
      <w:rPr>
        <w:b/>
        <w:bCs/>
        <w:color w:val="7F7F7F"/>
        <w:sz w:val="16"/>
        <w:szCs w:val="16"/>
      </w:rPr>
      <w:t>Sociales</w:t>
    </w:r>
  </w:p>
  <w:p w:rsidR="00C37B91" w:rsidRPr="00A73F47" w:rsidRDefault="00C37B91" w:rsidP="00C37B91">
    <w:pPr>
      <w:rPr>
        <w:b/>
        <w:bCs/>
        <w:color w:val="7F7F7F"/>
        <w:sz w:val="16"/>
        <w:szCs w:val="16"/>
      </w:rPr>
    </w:pPr>
    <w:r w:rsidRPr="00A73F47">
      <w:rPr>
        <w:b/>
        <w:bCs/>
        <w:color w:val="7F7F7F"/>
        <w:sz w:val="16"/>
        <w:szCs w:val="16"/>
      </w:rPr>
      <w:t>10 rue du Débarcadère - 75852 PARIS Cedex 17</w:t>
    </w:r>
  </w:p>
  <w:p w:rsidR="00C37B91" w:rsidRPr="00A73F47" w:rsidRDefault="00932040" w:rsidP="00C37B91">
    <w:pPr>
      <w:rPr>
        <w:b/>
        <w:bCs/>
        <w:color w:val="7F7F7F"/>
        <w:sz w:val="16"/>
        <w:szCs w:val="16"/>
      </w:rPr>
    </w:pPr>
    <w:r>
      <w:rPr>
        <w:b/>
        <w:bCs/>
        <w:color w:val="7F7F7F"/>
        <w:sz w:val="16"/>
        <w:szCs w:val="16"/>
      </w:rPr>
      <w:t>Téléphone 01 40 55 11 10</w:t>
    </w:r>
  </w:p>
  <w:p w:rsidR="00C37B91" w:rsidRPr="00A73F47" w:rsidRDefault="00787607" w:rsidP="00C37B91">
    <w:pPr>
      <w:rPr>
        <w:bCs/>
        <w:color w:val="7F7F7F"/>
        <w:sz w:val="16"/>
        <w:szCs w:val="16"/>
      </w:rPr>
    </w:pPr>
    <w:hyperlink r:id="rId1" w:history="1">
      <w:r w:rsidR="00C37B91" w:rsidRPr="00A73F47">
        <w:rPr>
          <w:rStyle w:val="Lienhypertexte"/>
          <w:color w:val="7F7F7F"/>
          <w:sz w:val="16"/>
          <w:szCs w:val="16"/>
        </w:rPr>
        <w:t>www.grandparis.ffbatiment.fr</w:t>
      </w:r>
    </w:hyperlink>
  </w:p>
  <w:p w:rsidR="00C37B91" w:rsidRPr="00A73F47" w:rsidRDefault="00C37B91" w:rsidP="00C37B91">
    <w:pPr>
      <w:rPr>
        <w:b/>
        <w:bCs/>
        <w:color w:val="7F7F7F"/>
        <w:sz w:val="16"/>
        <w:szCs w:val="16"/>
      </w:rPr>
    </w:pPr>
    <w:proofErr w:type="spellStart"/>
    <w:r w:rsidRPr="00A73F47">
      <w:rPr>
        <w:b/>
        <w:bCs/>
        <w:color w:val="7F7F7F"/>
        <w:sz w:val="16"/>
        <w:szCs w:val="16"/>
      </w:rPr>
      <w:t>siret</w:t>
    </w:r>
    <w:proofErr w:type="spellEnd"/>
    <w:r w:rsidRPr="00A73F47">
      <w:rPr>
        <w:b/>
        <w:bCs/>
        <w:color w:val="7F7F7F"/>
        <w:sz w:val="16"/>
        <w:szCs w:val="16"/>
      </w:rPr>
      <w:t> : 784 718 033 00011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004" w:rsidRDefault="00D90004" w:rsidP="00CC200B">
      <w:r>
        <w:separator/>
      </w:r>
    </w:p>
  </w:footnote>
  <w:footnote w:type="continuationSeparator" w:id="0">
    <w:p w:rsidR="00D90004" w:rsidRDefault="00D90004" w:rsidP="00CC2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00B" w:rsidRPr="00FB7677" w:rsidRDefault="00584F21" w:rsidP="00B0672B">
    <w:pPr>
      <w:pStyle w:val="En-tte"/>
      <w:tabs>
        <w:tab w:val="clear" w:pos="4536"/>
        <w:tab w:val="clear" w:pos="9072"/>
      </w:tabs>
      <w:rPr>
        <w:sz w:val="24"/>
        <w:szCs w:val="24"/>
      </w:rPr>
    </w:pPr>
    <w:r>
      <w:rPr>
        <w:b/>
        <w:bCs/>
        <w:noProof/>
        <w:color w:val="003399"/>
        <w:sz w:val="24"/>
        <w:szCs w:val="24"/>
        <w:lang w:eastAsia="fr-FR"/>
      </w:rPr>
      <mc:AlternateContent>
        <mc:Choice Requires="wps">
          <w:drawing>
            <wp:anchor distT="0" distB="0" distL="114300" distR="114300" simplePos="0" relativeHeight="251659264" behindDoc="0" locked="0" layoutInCell="1" allowOverlap="1">
              <wp:simplePos x="0" y="0"/>
              <wp:positionH relativeFrom="margin">
                <wp:posOffset>490220</wp:posOffset>
              </wp:positionH>
              <wp:positionV relativeFrom="paragraph">
                <wp:posOffset>502285</wp:posOffset>
              </wp:positionV>
              <wp:extent cx="4800600" cy="19050"/>
              <wp:effectExtent l="19050" t="19050" r="0" b="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00600" cy="19050"/>
                      </a:xfrm>
                      <a:prstGeom prst="line">
                        <a:avLst/>
                      </a:prstGeom>
                      <a:ln w="28575">
                        <a:solidFill>
                          <a:srgbClr val="00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7AF344" id="Connecteur droit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6pt,39.55pt" to="416.6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" strokecolor="#039" strokeweight="2.25pt">
              <o:lock v:ext="edit" shapetype="f"/>
              <w10:wrap anchorx="margin"/>
            </v:line>
          </w:pict>
        </mc:Fallback>
      </mc:AlternateContent>
    </w:r>
    <w:r w:rsidR="005D1625" w:rsidRPr="00FB7677">
      <w:rPr>
        <w:noProof/>
        <w:color w:val="003399"/>
        <w:sz w:val="24"/>
        <w:szCs w:val="24"/>
        <w:lang w:eastAsia="fr-FR"/>
      </w:rPr>
      <w:drawing>
        <wp:anchor distT="0" distB="0" distL="114300" distR="114300" simplePos="0" relativeHeight="251658240" behindDoc="0" locked="0" layoutInCell="1" allowOverlap="1">
          <wp:simplePos x="0" y="0"/>
          <wp:positionH relativeFrom="margin">
            <wp:posOffset>409575</wp:posOffset>
          </wp:positionH>
          <wp:positionV relativeFrom="paragraph">
            <wp:posOffset>-382270</wp:posOffset>
          </wp:positionV>
          <wp:extent cx="4939665" cy="84645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B_Circulaire.jpg"/>
                  <pic:cNvPicPr/>
                </pic:nvPicPr>
                <pic:blipFill>
                  <a:blip r:embed="rId1">
                    <a:extLst>
                      <a:ext uri="{28A0092B-C50C-407E-A947-70E740481C1C}">
                        <a14:useLocalDpi xmlns:a14="http://schemas.microsoft.com/office/drawing/2010/main" val="0"/>
                      </a:ext>
                    </a:extLst>
                  </a:blip>
                  <a:stretch>
                    <a:fillRect/>
                  </a:stretch>
                </pic:blipFill>
                <pic:spPr>
                  <a:xfrm>
                    <a:off x="0" y="0"/>
                    <a:ext cx="4939665" cy="8464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10DB47"/>
    <w:multiLevelType w:val="hybridMultilevel"/>
    <w:tmpl w:val="5B80C8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B1142"/>
    <w:multiLevelType w:val="hybridMultilevel"/>
    <w:tmpl w:val="F544D10E"/>
    <w:lvl w:ilvl="0" w:tplc="00FADE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A52D65"/>
    <w:multiLevelType w:val="hybridMultilevel"/>
    <w:tmpl w:val="8C507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246757"/>
    <w:multiLevelType w:val="hybridMultilevel"/>
    <w:tmpl w:val="8B0E1F1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55B16D4"/>
    <w:multiLevelType w:val="hybridMultilevel"/>
    <w:tmpl w:val="2780A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204A78"/>
    <w:multiLevelType w:val="hybridMultilevel"/>
    <w:tmpl w:val="4703DF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173EB0"/>
    <w:multiLevelType w:val="multilevel"/>
    <w:tmpl w:val="FF0AD9FE"/>
    <w:lvl w:ilvl="0">
      <w:start w:val="1"/>
      <w:numFmt w:val="decimal"/>
      <w:lvlText w:val="%1."/>
      <w:lvlJc w:val="left"/>
      <w:pPr>
        <w:ind w:left="720" w:hanging="360"/>
      </w:pPr>
      <w:rPr>
        <w:rFonts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E784BCB"/>
    <w:multiLevelType w:val="hybridMultilevel"/>
    <w:tmpl w:val="56AA1BB2"/>
    <w:lvl w:ilvl="0" w:tplc="37F64D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A1006"/>
    <w:multiLevelType w:val="hybridMultilevel"/>
    <w:tmpl w:val="A6BAB6E4"/>
    <w:lvl w:ilvl="0" w:tplc="CA78EB0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7C05D6"/>
    <w:multiLevelType w:val="hybridMultilevel"/>
    <w:tmpl w:val="27707758"/>
    <w:lvl w:ilvl="0" w:tplc="C24EB486">
      <w:numFmt w:val="bullet"/>
      <w:lvlText w:val="-"/>
      <w:lvlJc w:val="left"/>
      <w:pPr>
        <w:ind w:left="1065" w:hanging="360"/>
      </w:pPr>
      <w:rPr>
        <w:rFonts w:ascii="Calibri" w:eastAsia="Calibri" w:hAnsi="Calibri"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0" w15:restartNumberingAfterBreak="0">
    <w:nsid w:val="1C8D79BD"/>
    <w:multiLevelType w:val="hybridMultilevel"/>
    <w:tmpl w:val="285A6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943BE6"/>
    <w:multiLevelType w:val="hybridMultilevel"/>
    <w:tmpl w:val="3708A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390266"/>
    <w:multiLevelType w:val="hybridMultilevel"/>
    <w:tmpl w:val="FA623572"/>
    <w:lvl w:ilvl="0" w:tplc="6AE0B2D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CF14D2"/>
    <w:multiLevelType w:val="hybridMultilevel"/>
    <w:tmpl w:val="FE187B7C"/>
    <w:lvl w:ilvl="0" w:tplc="2946C69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D874C4"/>
    <w:multiLevelType w:val="hybridMultilevel"/>
    <w:tmpl w:val="C6D45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44377A"/>
    <w:multiLevelType w:val="hybridMultilevel"/>
    <w:tmpl w:val="17626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B57ACC"/>
    <w:multiLevelType w:val="hybridMultilevel"/>
    <w:tmpl w:val="C5562122"/>
    <w:lvl w:ilvl="0" w:tplc="FFDA0A26">
      <w:numFmt w:val="bullet"/>
      <w:lvlText w:val=""/>
      <w:lvlJc w:val="left"/>
      <w:pPr>
        <w:ind w:left="1065" w:hanging="360"/>
      </w:pPr>
      <w:rPr>
        <w:rFonts w:ascii="Wingdings" w:eastAsiaTheme="minorHAnsi" w:hAnsi="Wingdings"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15:restartNumberingAfterBreak="0">
    <w:nsid w:val="2EDB439E"/>
    <w:multiLevelType w:val="hybridMultilevel"/>
    <w:tmpl w:val="54E68BC4"/>
    <w:lvl w:ilvl="0" w:tplc="71F2F09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18B4DC5"/>
    <w:multiLevelType w:val="hybridMultilevel"/>
    <w:tmpl w:val="8B6C200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20777E2"/>
    <w:multiLevelType w:val="hybridMultilevel"/>
    <w:tmpl w:val="D9564E12"/>
    <w:lvl w:ilvl="0" w:tplc="1B2E2CA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9B09C8"/>
    <w:multiLevelType w:val="hybridMultilevel"/>
    <w:tmpl w:val="F5B27864"/>
    <w:lvl w:ilvl="0" w:tplc="A170F5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94067D"/>
    <w:multiLevelType w:val="hybridMultilevel"/>
    <w:tmpl w:val="E4F4F2F2"/>
    <w:lvl w:ilvl="0" w:tplc="D57C79E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F22F2F"/>
    <w:multiLevelType w:val="hybridMultilevel"/>
    <w:tmpl w:val="6B981D46"/>
    <w:lvl w:ilvl="0" w:tplc="A3046EE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736602E"/>
    <w:multiLevelType w:val="hybridMultilevel"/>
    <w:tmpl w:val="1820E3B8"/>
    <w:lvl w:ilvl="0" w:tplc="1090E38C">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FC448A"/>
    <w:multiLevelType w:val="hybridMultilevel"/>
    <w:tmpl w:val="3C503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9147EE"/>
    <w:multiLevelType w:val="hybridMultilevel"/>
    <w:tmpl w:val="4D8EC482"/>
    <w:lvl w:ilvl="0" w:tplc="6F28CA4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ED5AF7"/>
    <w:multiLevelType w:val="hybridMultilevel"/>
    <w:tmpl w:val="3E14DEB2"/>
    <w:lvl w:ilvl="0" w:tplc="4DE0E22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E65ADA"/>
    <w:multiLevelType w:val="hybridMultilevel"/>
    <w:tmpl w:val="56C08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835B8B"/>
    <w:multiLevelType w:val="hybridMultilevel"/>
    <w:tmpl w:val="DC02D02E"/>
    <w:lvl w:ilvl="0" w:tplc="17DA6EB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D40838"/>
    <w:multiLevelType w:val="hybridMultilevel"/>
    <w:tmpl w:val="451CA0B0"/>
    <w:lvl w:ilvl="0" w:tplc="7B52822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AA81983"/>
    <w:multiLevelType w:val="hybridMultilevel"/>
    <w:tmpl w:val="39363168"/>
    <w:lvl w:ilvl="0" w:tplc="E4EE42CC">
      <w:numFmt w:val="bullet"/>
      <w:lvlText w:val=""/>
      <w:lvlJc w:val="left"/>
      <w:pPr>
        <w:ind w:left="1065" w:hanging="360"/>
      </w:pPr>
      <w:rPr>
        <w:rFonts w:ascii="Wingdings" w:eastAsiaTheme="minorHAnsi" w:hAnsi="Wingdings" w:cs="Arial" w:hint="default"/>
        <w:u w:val="no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1" w15:restartNumberingAfterBreak="0">
    <w:nsid w:val="5F534687"/>
    <w:multiLevelType w:val="hybridMultilevel"/>
    <w:tmpl w:val="DA6CE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CB2650"/>
    <w:multiLevelType w:val="hybridMultilevel"/>
    <w:tmpl w:val="F56E378E"/>
    <w:lvl w:ilvl="0" w:tplc="4A18D4CA">
      <w:start w:val="3"/>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63DE04B5"/>
    <w:multiLevelType w:val="hybridMultilevel"/>
    <w:tmpl w:val="7D0472B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4" w15:restartNumberingAfterBreak="0">
    <w:nsid w:val="66470941"/>
    <w:multiLevelType w:val="hybridMultilevel"/>
    <w:tmpl w:val="6022861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6A6F6451"/>
    <w:multiLevelType w:val="hybridMultilevel"/>
    <w:tmpl w:val="FC12FD80"/>
    <w:lvl w:ilvl="0" w:tplc="9F7A7C66">
      <w:numFmt w:val="bullet"/>
      <w:lvlText w:val="-"/>
      <w:lvlJc w:val="left"/>
      <w:pPr>
        <w:ind w:left="1065" w:hanging="360"/>
      </w:pPr>
      <w:rPr>
        <w:rFonts w:ascii="Arial" w:eastAsiaTheme="minorHAnsi" w:hAnsi="Arial" w:cs="Arial"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6" w15:restartNumberingAfterBreak="0">
    <w:nsid w:val="6B486635"/>
    <w:multiLevelType w:val="hybridMultilevel"/>
    <w:tmpl w:val="A5009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C03052A"/>
    <w:multiLevelType w:val="hybridMultilevel"/>
    <w:tmpl w:val="92AAF46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EDA65F0"/>
    <w:multiLevelType w:val="hybridMultilevel"/>
    <w:tmpl w:val="0B38C5D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710760D7"/>
    <w:multiLevelType w:val="hybridMultilevel"/>
    <w:tmpl w:val="409C2E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44132D1"/>
    <w:multiLevelType w:val="hybridMultilevel"/>
    <w:tmpl w:val="6B66A04C"/>
    <w:lvl w:ilvl="0" w:tplc="3DB8420E">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45354BD"/>
    <w:multiLevelType w:val="hybridMultilevel"/>
    <w:tmpl w:val="41328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64A55BF"/>
    <w:multiLevelType w:val="hybridMultilevel"/>
    <w:tmpl w:val="8E725804"/>
    <w:lvl w:ilvl="0" w:tplc="B5FACC7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77455707"/>
    <w:multiLevelType w:val="hybridMultilevel"/>
    <w:tmpl w:val="F97E03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505221"/>
    <w:multiLevelType w:val="hybridMultilevel"/>
    <w:tmpl w:val="F0DE15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7EA25B71"/>
    <w:multiLevelType w:val="hybridMultilevel"/>
    <w:tmpl w:val="7BA03DFC"/>
    <w:lvl w:ilvl="0" w:tplc="96CEFDE8">
      <w:start w:val="1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FF53EDE"/>
    <w:multiLevelType w:val="hybridMultilevel"/>
    <w:tmpl w:val="13784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3"/>
  </w:num>
  <w:num w:numId="4">
    <w:abstractNumId w:val="34"/>
  </w:num>
  <w:num w:numId="5">
    <w:abstractNumId w:val="38"/>
  </w:num>
  <w:num w:numId="6">
    <w:abstractNumId w:val="22"/>
  </w:num>
  <w:num w:numId="7">
    <w:abstractNumId w:val="41"/>
  </w:num>
  <w:num w:numId="8">
    <w:abstractNumId w:val="12"/>
  </w:num>
  <w:num w:numId="9">
    <w:abstractNumId w:val="24"/>
  </w:num>
  <w:num w:numId="10">
    <w:abstractNumId w:val="10"/>
  </w:num>
  <w:num w:numId="11">
    <w:abstractNumId w:val="4"/>
  </w:num>
  <w:num w:numId="12">
    <w:abstractNumId w:val="39"/>
  </w:num>
  <w:num w:numId="13">
    <w:abstractNumId w:val="33"/>
  </w:num>
  <w:num w:numId="14">
    <w:abstractNumId w:val="20"/>
  </w:num>
  <w:num w:numId="15">
    <w:abstractNumId w:val="0"/>
  </w:num>
  <w:num w:numId="16">
    <w:abstractNumId w:val="40"/>
  </w:num>
  <w:num w:numId="17">
    <w:abstractNumId w:val="5"/>
  </w:num>
  <w:num w:numId="18">
    <w:abstractNumId w:val="42"/>
  </w:num>
  <w:num w:numId="19">
    <w:abstractNumId w:val="45"/>
  </w:num>
  <w:num w:numId="20">
    <w:abstractNumId w:val="17"/>
  </w:num>
  <w:num w:numId="21">
    <w:abstractNumId w:val="32"/>
  </w:num>
  <w:num w:numId="22">
    <w:abstractNumId w:val="28"/>
  </w:num>
  <w:num w:numId="23">
    <w:abstractNumId w:val="19"/>
  </w:num>
  <w:num w:numId="24">
    <w:abstractNumId w:val="23"/>
  </w:num>
  <w:num w:numId="25">
    <w:abstractNumId w:val="1"/>
  </w:num>
  <w:num w:numId="26">
    <w:abstractNumId w:val="35"/>
  </w:num>
  <w:num w:numId="27">
    <w:abstractNumId w:val="8"/>
  </w:num>
  <w:num w:numId="28">
    <w:abstractNumId w:val="7"/>
  </w:num>
  <w:num w:numId="29">
    <w:abstractNumId w:val="3"/>
  </w:num>
  <w:num w:numId="30">
    <w:abstractNumId w:val="44"/>
  </w:num>
  <w:num w:numId="31">
    <w:abstractNumId w:val="37"/>
  </w:num>
  <w:num w:numId="32">
    <w:abstractNumId w:val="18"/>
  </w:num>
  <w:num w:numId="33">
    <w:abstractNumId w:val="25"/>
  </w:num>
  <w:num w:numId="34">
    <w:abstractNumId w:val="27"/>
  </w:num>
  <w:num w:numId="35">
    <w:abstractNumId w:val="15"/>
  </w:num>
  <w:num w:numId="36">
    <w:abstractNumId w:val="16"/>
  </w:num>
  <w:num w:numId="37">
    <w:abstractNumId w:val="30"/>
  </w:num>
  <w:num w:numId="38">
    <w:abstractNumId w:val="9"/>
  </w:num>
  <w:num w:numId="39">
    <w:abstractNumId w:val="11"/>
  </w:num>
  <w:num w:numId="40">
    <w:abstractNumId w:val="29"/>
  </w:num>
  <w:num w:numId="41">
    <w:abstractNumId w:val="36"/>
  </w:num>
  <w:num w:numId="42">
    <w:abstractNumId w:val="13"/>
  </w:num>
  <w:num w:numId="43">
    <w:abstractNumId w:val="46"/>
  </w:num>
  <w:num w:numId="44">
    <w:abstractNumId w:val="31"/>
  </w:num>
  <w:num w:numId="45">
    <w:abstractNumId w:val="21"/>
  </w:num>
  <w:num w:numId="46">
    <w:abstractNumId w:val="14"/>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FR" w:vendorID="64" w:dllVersion="4096" w:nlCheck="1" w:checkStyle="0"/>
  <w:activeWritingStyle w:appName="MSWord" w:lang="fr-FR" w:vendorID="64" w:dllVersion="131078" w:nlCheck="1" w:checkStyle="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0B"/>
    <w:rsid w:val="00000A06"/>
    <w:rsid w:val="00002946"/>
    <w:rsid w:val="0000469F"/>
    <w:rsid w:val="0002717F"/>
    <w:rsid w:val="00065CBA"/>
    <w:rsid w:val="00067B68"/>
    <w:rsid w:val="000721E2"/>
    <w:rsid w:val="0009069D"/>
    <w:rsid w:val="000A10ED"/>
    <w:rsid w:val="000A147C"/>
    <w:rsid w:val="000B7E62"/>
    <w:rsid w:val="000C0299"/>
    <w:rsid w:val="001030D9"/>
    <w:rsid w:val="001167E1"/>
    <w:rsid w:val="0012173A"/>
    <w:rsid w:val="001317D5"/>
    <w:rsid w:val="00145BE2"/>
    <w:rsid w:val="00156D73"/>
    <w:rsid w:val="001805BC"/>
    <w:rsid w:val="00190790"/>
    <w:rsid w:val="00195F2E"/>
    <w:rsid w:val="00196CE0"/>
    <w:rsid w:val="001B54C0"/>
    <w:rsid w:val="001D350E"/>
    <w:rsid w:val="001F670F"/>
    <w:rsid w:val="0022403D"/>
    <w:rsid w:val="00225104"/>
    <w:rsid w:val="00225BA4"/>
    <w:rsid w:val="00231843"/>
    <w:rsid w:val="00247896"/>
    <w:rsid w:val="002513D4"/>
    <w:rsid w:val="0027748D"/>
    <w:rsid w:val="002863A8"/>
    <w:rsid w:val="002A1A4E"/>
    <w:rsid w:val="002A52B9"/>
    <w:rsid w:val="002A6365"/>
    <w:rsid w:val="002B4B48"/>
    <w:rsid w:val="002B5040"/>
    <w:rsid w:val="002D0740"/>
    <w:rsid w:val="002D4C83"/>
    <w:rsid w:val="00312A87"/>
    <w:rsid w:val="0031462D"/>
    <w:rsid w:val="00337265"/>
    <w:rsid w:val="00356992"/>
    <w:rsid w:val="003618BE"/>
    <w:rsid w:val="00361B4E"/>
    <w:rsid w:val="003779CB"/>
    <w:rsid w:val="00392EBB"/>
    <w:rsid w:val="00394B73"/>
    <w:rsid w:val="003A134F"/>
    <w:rsid w:val="003A42E4"/>
    <w:rsid w:val="003A606B"/>
    <w:rsid w:val="003B0F91"/>
    <w:rsid w:val="003B7B38"/>
    <w:rsid w:val="003C3318"/>
    <w:rsid w:val="00400F68"/>
    <w:rsid w:val="0040164B"/>
    <w:rsid w:val="004019C6"/>
    <w:rsid w:val="0040708B"/>
    <w:rsid w:val="004160CC"/>
    <w:rsid w:val="00421C65"/>
    <w:rsid w:val="004220D0"/>
    <w:rsid w:val="00454B12"/>
    <w:rsid w:val="00471511"/>
    <w:rsid w:val="004725E2"/>
    <w:rsid w:val="004772A5"/>
    <w:rsid w:val="004A41B9"/>
    <w:rsid w:val="004B7399"/>
    <w:rsid w:val="004C01AB"/>
    <w:rsid w:val="004C3532"/>
    <w:rsid w:val="004D4C21"/>
    <w:rsid w:val="004F1674"/>
    <w:rsid w:val="004F6610"/>
    <w:rsid w:val="0052157F"/>
    <w:rsid w:val="00521A04"/>
    <w:rsid w:val="005220FB"/>
    <w:rsid w:val="00524B61"/>
    <w:rsid w:val="00536423"/>
    <w:rsid w:val="00557F7B"/>
    <w:rsid w:val="00576681"/>
    <w:rsid w:val="00577885"/>
    <w:rsid w:val="00584F21"/>
    <w:rsid w:val="005958EE"/>
    <w:rsid w:val="005C3892"/>
    <w:rsid w:val="005D1625"/>
    <w:rsid w:val="0060519B"/>
    <w:rsid w:val="00613EE3"/>
    <w:rsid w:val="006434FE"/>
    <w:rsid w:val="00643930"/>
    <w:rsid w:val="0067063E"/>
    <w:rsid w:val="00683EC1"/>
    <w:rsid w:val="006A323A"/>
    <w:rsid w:val="006B7CEC"/>
    <w:rsid w:val="006C3B10"/>
    <w:rsid w:val="006D2537"/>
    <w:rsid w:val="006D7517"/>
    <w:rsid w:val="006F7923"/>
    <w:rsid w:val="00703716"/>
    <w:rsid w:val="007071F5"/>
    <w:rsid w:val="00713812"/>
    <w:rsid w:val="0071431A"/>
    <w:rsid w:val="00715B3C"/>
    <w:rsid w:val="00717D5D"/>
    <w:rsid w:val="00720515"/>
    <w:rsid w:val="007210E2"/>
    <w:rsid w:val="00721737"/>
    <w:rsid w:val="007232C7"/>
    <w:rsid w:val="00744C27"/>
    <w:rsid w:val="00754953"/>
    <w:rsid w:val="007660E4"/>
    <w:rsid w:val="00780632"/>
    <w:rsid w:val="00783B8B"/>
    <w:rsid w:val="00785F23"/>
    <w:rsid w:val="00787607"/>
    <w:rsid w:val="007A5536"/>
    <w:rsid w:val="007B19D2"/>
    <w:rsid w:val="007E4841"/>
    <w:rsid w:val="007F5450"/>
    <w:rsid w:val="00827A43"/>
    <w:rsid w:val="00831E38"/>
    <w:rsid w:val="00840519"/>
    <w:rsid w:val="00841B0C"/>
    <w:rsid w:val="00871DB7"/>
    <w:rsid w:val="00884483"/>
    <w:rsid w:val="00884A5B"/>
    <w:rsid w:val="008A55EF"/>
    <w:rsid w:val="008B6B0D"/>
    <w:rsid w:val="008D7067"/>
    <w:rsid w:val="008E390D"/>
    <w:rsid w:val="00917354"/>
    <w:rsid w:val="00932040"/>
    <w:rsid w:val="009778BB"/>
    <w:rsid w:val="009868CD"/>
    <w:rsid w:val="009B621C"/>
    <w:rsid w:val="009F4FDC"/>
    <w:rsid w:val="00A00D93"/>
    <w:rsid w:val="00A16030"/>
    <w:rsid w:val="00A17AAE"/>
    <w:rsid w:val="00A20267"/>
    <w:rsid w:val="00A27B66"/>
    <w:rsid w:val="00A322D2"/>
    <w:rsid w:val="00A341E7"/>
    <w:rsid w:val="00A55EC7"/>
    <w:rsid w:val="00A62CAB"/>
    <w:rsid w:val="00A65F23"/>
    <w:rsid w:val="00AD61F5"/>
    <w:rsid w:val="00B04299"/>
    <w:rsid w:val="00B0672B"/>
    <w:rsid w:val="00B169CC"/>
    <w:rsid w:val="00B17CB2"/>
    <w:rsid w:val="00B3741C"/>
    <w:rsid w:val="00B45B7E"/>
    <w:rsid w:val="00B61EF9"/>
    <w:rsid w:val="00BA57D9"/>
    <w:rsid w:val="00BC152A"/>
    <w:rsid w:val="00BF2F83"/>
    <w:rsid w:val="00C032FD"/>
    <w:rsid w:val="00C1029F"/>
    <w:rsid w:val="00C17E7A"/>
    <w:rsid w:val="00C222DC"/>
    <w:rsid w:val="00C229B8"/>
    <w:rsid w:val="00C22E13"/>
    <w:rsid w:val="00C33F0B"/>
    <w:rsid w:val="00C37B91"/>
    <w:rsid w:val="00C41A9A"/>
    <w:rsid w:val="00C64C77"/>
    <w:rsid w:val="00C74AE3"/>
    <w:rsid w:val="00C92996"/>
    <w:rsid w:val="00C93B37"/>
    <w:rsid w:val="00C97F6E"/>
    <w:rsid w:val="00CA2A9A"/>
    <w:rsid w:val="00CC200B"/>
    <w:rsid w:val="00CC3F44"/>
    <w:rsid w:val="00CC5F25"/>
    <w:rsid w:val="00CD2E24"/>
    <w:rsid w:val="00CF7CFB"/>
    <w:rsid w:val="00D04EA3"/>
    <w:rsid w:val="00D06DC0"/>
    <w:rsid w:val="00D22093"/>
    <w:rsid w:val="00D3657E"/>
    <w:rsid w:val="00D4503E"/>
    <w:rsid w:val="00D52E7B"/>
    <w:rsid w:val="00D7278B"/>
    <w:rsid w:val="00D758F8"/>
    <w:rsid w:val="00D86426"/>
    <w:rsid w:val="00D90004"/>
    <w:rsid w:val="00DB7D2A"/>
    <w:rsid w:val="00DC5BA3"/>
    <w:rsid w:val="00DF49D3"/>
    <w:rsid w:val="00E0141F"/>
    <w:rsid w:val="00E044FF"/>
    <w:rsid w:val="00E05954"/>
    <w:rsid w:val="00E13DB8"/>
    <w:rsid w:val="00E263AE"/>
    <w:rsid w:val="00E43118"/>
    <w:rsid w:val="00E45227"/>
    <w:rsid w:val="00E5152E"/>
    <w:rsid w:val="00E53DFF"/>
    <w:rsid w:val="00E756DE"/>
    <w:rsid w:val="00E95221"/>
    <w:rsid w:val="00E95AB8"/>
    <w:rsid w:val="00E97155"/>
    <w:rsid w:val="00EA0666"/>
    <w:rsid w:val="00EB7E53"/>
    <w:rsid w:val="00EC54F5"/>
    <w:rsid w:val="00ED655C"/>
    <w:rsid w:val="00EE4252"/>
    <w:rsid w:val="00F0604E"/>
    <w:rsid w:val="00F24B44"/>
    <w:rsid w:val="00F428B3"/>
    <w:rsid w:val="00F454BA"/>
    <w:rsid w:val="00F459DB"/>
    <w:rsid w:val="00F516A2"/>
    <w:rsid w:val="00F61A82"/>
    <w:rsid w:val="00F76134"/>
    <w:rsid w:val="00F81953"/>
    <w:rsid w:val="00F86C68"/>
    <w:rsid w:val="00FA69C3"/>
    <w:rsid w:val="00FB7677"/>
    <w:rsid w:val="00FE06B6"/>
    <w:rsid w:val="00FE79C6"/>
    <w:rsid w:val="00FF73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5D55CEE-0636-42C1-B115-E9A46AF5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EC7"/>
  </w:style>
  <w:style w:type="paragraph" w:styleId="Titre1">
    <w:name w:val="heading 1"/>
    <w:basedOn w:val="Normal"/>
    <w:next w:val="Normal"/>
    <w:link w:val="Titre1Car"/>
    <w:uiPriority w:val="9"/>
    <w:qFormat/>
    <w:rsid w:val="00A62CA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200B"/>
    <w:pPr>
      <w:tabs>
        <w:tab w:val="center" w:pos="4536"/>
        <w:tab w:val="right" w:pos="9072"/>
      </w:tabs>
    </w:pPr>
  </w:style>
  <w:style w:type="character" w:customStyle="1" w:styleId="En-tteCar">
    <w:name w:val="En-tête Car"/>
    <w:basedOn w:val="Policepardfaut"/>
    <w:link w:val="En-tte"/>
    <w:uiPriority w:val="99"/>
    <w:rsid w:val="00CC200B"/>
  </w:style>
  <w:style w:type="paragraph" w:styleId="Pieddepage">
    <w:name w:val="footer"/>
    <w:basedOn w:val="Normal"/>
    <w:link w:val="PieddepageCar"/>
    <w:uiPriority w:val="99"/>
    <w:unhideWhenUsed/>
    <w:rsid w:val="00CC200B"/>
    <w:pPr>
      <w:tabs>
        <w:tab w:val="center" w:pos="4536"/>
        <w:tab w:val="right" w:pos="9072"/>
      </w:tabs>
    </w:pPr>
  </w:style>
  <w:style w:type="character" w:customStyle="1" w:styleId="PieddepageCar">
    <w:name w:val="Pied de page Car"/>
    <w:basedOn w:val="Policepardfaut"/>
    <w:link w:val="Pieddepage"/>
    <w:uiPriority w:val="99"/>
    <w:rsid w:val="00CC200B"/>
  </w:style>
  <w:style w:type="character" w:styleId="Lienhypertexte">
    <w:name w:val="Hyperlink"/>
    <w:uiPriority w:val="99"/>
    <w:rsid w:val="00CC200B"/>
    <w:rPr>
      <w:b/>
      <w:bCs/>
      <w:strike w:val="0"/>
      <w:dstrike w:val="0"/>
      <w:color w:val="0257B2"/>
      <w:u w:val="none"/>
      <w:effect w:val="none"/>
    </w:rPr>
  </w:style>
  <w:style w:type="paragraph" w:styleId="Textedebulles">
    <w:name w:val="Balloon Text"/>
    <w:basedOn w:val="Normal"/>
    <w:link w:val="TextedebullesCar"/>
    <w:uiPriority w:val="99"/>
    <w:semiHidden/>
    <w:unhideWhenUsed/>
    <w:rsid w:val="00065CBA"/>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5CBA"/>
    <w:rPr>
      <w:rFonts w:ascii="Segoe UI" w:hAnsi="Segoe UI" w:cs="Segoe UI"/>
      <w:sz w:val="18"/>
      <w:szCs w:val="18"/>
    </w:rPr>
  </w:style>
  <w:style w:type="paragraph" w:styleId="Paragraphedeliste">
    <w:name w:val="List Paragraph"/>
    <w:basedOn w:val="Normal"/>
    <w:uiPriority w:val="34"/>
    <w:qFormat/>
    <w:rsid w:val="004725E2"/>
    <w:pPr>
      <w:spacing w:after="200" w:line="276" w:lineRule="auto"/>
      <w:ind w:left="720"/>
      <w:contextualSpacing/>
    </w:pPr>
    <w:rPr>
      <w:rFonts w:ascii="Calibri" w:eastAsia="Calibri" w:hAnsi="Calibri" w:cs="Times New Roman"/>
    </w:rPr>
  </w:style>
  <w:style w:type="paragraph" w:styleId="Notedebasdepage">
    <w:name w:val="footnote text"/>
    <w:basedOn w:val="Normal"/>
    <w:link w:val="NotedebasdepageCar"/>
    <w:uiPriority w:val="99"/>
    <w:semiHidden/>
    <w:unhideWhenUsed/>
    <w:rsid w:val="00783B8B"/>
    <w:rPr>
      <w:sz w:val="20"/>
      <w:szCs w:val="20"/>
    </w:rPr>
  </w:style>
  <w:style w:type="character" w:customStyle="1" w:styleId="NotedebasdepageCar">
    <w:name w:val="Note de bas de page Car"/>
    <w:basedOn w:val="Policepardfaut"/>
    <w:link w:val="Notedebasdepage"/>
    <w:uiPriority w:val="99"/>
    <w:semiHidden/>
    <w:rsid w:val="00783B8B"/>
    <w:rPr>
      <w:sz w:val="20"/>
      <w:szCs w:val="20"/>
    </w:rPr>
  </w:style>
  <w:style w:type="character" w:styleId="Appelnotedebasdep">
    <w:name w:val="footnote reference"/>
    <w:basedOn w:val="Policepardfaut"/>
    <w:uiPriority w:val="99"/>
    <w:semiHidden/>
    <w:unhideWhenUsed/>
    <w:rsid w:val="00783B8B"/>
    <w:rPr>
      <w:vertAlign w:val="superscript"/>
    </w:rPr>
  </w:style>
  <w:style w:type="character" w:customStyle="1" w:styleId="Mentionnonrsolue1">
    <w:name w:val="Mention non résolue1"/>
    <w:basedOn w:val="Policepardfaut"/>
    <w:uiPriority w:val="99"/>
    <w:semiHidden/>
    <w:unhideWhenUsed/>
    <w:rsid w:val="00EB7E53"/>
    <w:rPr>
      <w:color w:val="808080"/>
      <w:shd w:val="clear" w:color="auto" w:fill="E6E6E6"/>
    </w:rPr>
  </w:style>
  <w:style w:type="table" w:styleId="Grilledutableau">
    <w:name w:val="Table Grid"/>
    <w:basedOn w:val="TableauNormal"/>
    <w:uiPriority w:val="39"/>
    <w:rsid w:val="00932040"/>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0F68"/>
    <w:pPr>
      <w:autoSpaceDE w:val="0"/>
      <w:autoSpaceDN w:val="0"/>
      <w:adjustRightInd w:val="0"/>
    </w:pPr>
    <w:rPr>
      <w:color w:val="000000"/>
      <w:sz w:val="24"/>
      <w:szCs w:val="24"/>
    </w:rPr>
  </w:style>
  <w:style w:type="paragraph" w:customStyle="1" w:styleId="paragraph">
    <w:name w:val="paragraph"/>
    <w:basedOn w:val="Normal"/>
    <w:rsid w:val="00B17CB2"/>
    <w:pPr>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B17CB2"/>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17CB2"/>
    <w:rPr>
      <w:b/>
      <w:bCs/>
    </w:rPr>
  </w:style>
  <w:style w:type="paragraph" w:styleId="Notedefin">
    <w:name w:val="endnote text"/>
    <w:basedOn w:val="Normal"/>
    <w:link w:val="NotedefinCar"/>
    <w:uiPriority w:val="99"/>
    <w:semiHidden/>
    <w:unhideWhenUsed/>
    <w:rsid w:val="00F24B44"/>
    <w:rPr>
      <w:sz w:val="20"/>
      <w:szCs w:val="20"/>
    </w:rPr>
  </w:style>
  <w:style w:type="character" w:customStyle="1" w:styleId="NotedefinCar">
    <w:name w:val="Note de fin Car"/>
    <w:basedOn w:val="Policepardfaut"/>
    <w:link w:val="Notedefin"/>
    <w:uiPriority w:val="99"/>
    <w:semiHidden/>
    <w:rsid w:val="00F24B44"/>
    <w:rPr>
      <w:sz w:val="20"/>
      <w:szCs w:val="20"/>
    </w:rPr>
  </w:style>
  <w:style w:type="character" w:styleId="Appeldenotedefin">
    <w:name w:val="endnote reference"/>
    <w:basedOn w:val="Policepardfaut"/>
    <w:uiPriority w:val="99"/>
    <w:semiHidden/>
    <w:unhideWhenUsed/>
    <w:rsid w:val="00F24B44"/>
    <w:rPr>
      <w:vertAlign w:val="superscript"/>
    </w:rPr>
  </w:style>
  <w:style w:type="character" w:customStyle="1" w:styleId="Mentionnonrsolue2">
    <w:name w:val="Mention non résolue2"/>
    <w:basedOn w:val="Policepardfaut"/>
    <w:uiPriority w:val="99"/>
    <w:semiHidden/>
    <w:unhideWhenUsed/>
    <w:rsid w:val="006A323A"/>
    <w:rPr>
      <w:color w:val="808080"/>
      <w:shd w:val="clear" w:color="auto" w:fill="E6E6E6"/>
    </w:rPr>
  </w:style>
  <w:style w:type="character" w:customStyle="1" w:styleId="Titre1Car">
    <w:name w:val="Titre 1 Car"/>
    <w:basedOn w:val="Policepardfaut"/>
    <w:link w:val="Titre1"/>
    <w:uiPriority w:val="9"/>
    <w:rsid w:val="00A62CA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804359">
      <w:bodyDiv w:val="1"/>
      <w:marLeft w:val="0"/>
      <w:marRight w:val="0"/>
      <w:marTop w:val="0"/>
      <w:marBottom w:val="0"/>
      <w:divBdr>
        <w:top w:val="none" w:sz="0" w:space="0" w:color="auto"/>
        <w:left w:val="none" w:sz="0" w:space="0" w:color="auto"/>
        <w:bottom w:val="none" w:sz="0" w:space="0" w:color="auto"/>
        <w:right w:val="none" w:sz="0" w:space="0" w:color="auto"/>
      </w:divBdr>
    </w:div>
    <w:div w:id="698580238">
      <w:bodyDiv w:val="1"/>
      <w:marLeft w:val="0"/>
      <w:marRight w:val="0"/>
      <w:marTop w:val="0"/>
      <w:marBottom w:val="0"/>
      <w:divBdr>
        <w:top w:val="none" w:sz="0" w:space="0" w:color="auto"/>
        <w:left w:val="none" w:sz="0" w:space="0" w:color="auto"/>
        <w:bottom w:val="none" w:sz="0" w:space="0" w:color="auto"/>
        <w:right w:val="none" w:sz="0" w:space="0" w:color="auto"/>
      </w:divBdr>
    </w:div>
    <w:div w:id="842821637">
      <w:bodyDiv w:val="1"/>
      <w:marLeft w:val="0"/>
      <w:marRight w:val="0"/>
      <w:marTop w:val="0"/>
      <w:marBottom w:val="0"/>
      <w:divBdr>
        <w:top w:val="none" w:sz="0" w:space="0" w:color="auto"/>
        <w:left w:val="none" w:sz="0" w:space="0" w:color="auto"/>
        <w:bottom w:val="none" w:sz="0" w:space="0" w:color="auto"/>
        <w:right w:val="none" w:sz="0" w:space="0" w:color="auto"/>
      </w:divBdr>
    </w:div>
    <w:div w:id="1281884200">
      <w:bodyDiv w:val="1"/>
      <w:marLeft w:val="0"/>
      <w:marRight w:val="0"/>
      <w:marTop w:val="0"/>
      <w:marBottom w:val="0"/>
      <w:divBdr>
        <w:top w:val="none" w:sz="0" w:space="0" w:color="auto"/>
        <w:left w:val="none" w:sz="0" w:space="0" w:color="auto"/>
        <w:bottom w:val="none" w:sz="0" w:space="0" w:color="auto"/>
        <w:right w:val="none" w:sz="0" w:space="0" w:color="auto"/>
      </w:divBdr>
    </w:div>
    <w:div w:id="190514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lare.ameli.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eli.fr/sites/default/files/formualires/107/s320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clare.ameli.fr/" TargetMode="External"/><Relationship Id="rId4" Type="http://schemas.openxmlformats.org/officeDocument/2006/relationships/settings" Target="settings.xml"/><Relationship Id="rId9" Type="http://schemas.openxmlformats.org/officeDocument/2006/relationships/hyperlink" Target="https://www.ameli.fr/sites/default/files/formualires/107/s3201.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randparis.ffbatiment.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8B3C8-3138-455B-AC58-C33396DC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1202</Words>
  <Characters>6613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PONT</dc:creator>
  <cp:lastModifiedBy>Cécile PONT</cp:lastModifiedBy>
  <cp:revision>4</cp:revision>
  <cp:lastPrinted>2020-03-31T16:54:00Z</cp:lastPrinted>
  <dcterms:created xsi:type="dcterms:W3CDTF">2020-03-31T16:54:00Z</dcterms:created>
  <dcterms:modified xsi:type="dcterms:W3CDTF">2020-04-01T07:24:00Z</dcterms:modified>
</cp:coreProperties>
</file>