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09CD" w14:textId="028C2CE5" w:rsidR="00145BE2" w:rsidRPr="003004F3" w:rsidRDefault="00B0672B" w:rsidP="00B0672B">
      <w:pPr>
        <w:jc w:val="right"/>
        <w:rPr>
          <w:b/>
          <w:color w:val="1F497D" w:themeColor="text2"/>
          <w:sz w:val="24"/>
          <w:szCs w:val="24"/>
        </w:rPr>
      </w:pPr>
      <w:bookmarkStart w:id="0" w:name="_GoBack"/>
      <w:bookmarkEnd w:id="0"/>
      <w:r w:rsidRPr="003004F3">
        <w:rPr>
          <w:b/>
          <w:color w:val="1F497D" w:themeColor="text2"/>
          <w:sz w:val="24"/>
          <w:szCs w:val="24"/>
        </w:rPr>
        <w:t>DA</w:t>
      </w:r>
      <w:r w:rsidR="00932040" w:rsidRPr="003004F3">
        <w:rPr>
          <w:b/>
          <w:color w:val="1F497D" w:themeColor="text2"/>
          <w:sz w:val="24"/>
          <w:szCs w:val="24"/>
        </w:rPr>
        <w:t>S</w:t>
      </w:r>
      <w:r w:rsidRPr="003004F3">
        <w:rPr>
          <w:b/>
          <w:color w:val="1F497D" w:themeColor="text2"/>
          <w:sz w:val="24"/>
          <w:szCs w:val="24"/>
        </w:rPr>
        <w:t xml:space="preserve"> n°</w:t>
      </w:r>
      <w:r w:rsidR="00766CA1">
        <w:rPr>
          <w:b/>
          <w:color w:val="1F497D" w:themeColor="text2"/>
          <w:sz w:val="24"/>
          <w:szCs w:val="24"/>
        </w:rPr>
        <w:t>61</w:t>
      </w:r>
    </w:p>
    <w:p w14:paraId="71F83974" w14:textId="4EE24A2B" w:rsidR="00B0672B" w:rsidRPr="003004F3" w:rsidRDefault="00766CA1" w:rsidP="00394E16">
      <w:pPr>
        <w:jc w:val="right"/>
      </w:pPr>
      <w:r>
        <w:rPr>
          <w:b/>
          <w:color w:val="1F497D" w:themeColor="text2"/>
          <w:sz w:val="24"/>
          <w:szCs w:val="24"/>
        </w:rPr>
        <w:t>d</w:t>
      </w:r>
      <w:r w:rsidR="00B0672B" w:rsidRPr="003004F3">
        <w:rPr>
          <w:b/>
          <w:color w:val="1F497D" w:themeColor="text2"/>
          <w:sz w:val="24"/>
          <w:szCs w:val="24"/>
        </w:rPr>
        <w:t>u</w:t>
      </w:r>
      <w:r w:rsidR="00400F68" w:rsidRPr="003004F3">
        <w:rPr>
          <w:b/>
          <w:color w:val="1F497D" w:themeColor="text2"/>
          <w:sz w:val="24"/>
          <w:szCs w:val="24"/>
        </w:rPr>
        <w:t xml:space="preserve"> </w:t>
      </w:r>
      <w:r>
        <w:rPr>
          <w:b/>
          <w:color w:val="1F497D" w:themeColor="text2"/>
          <w:sz w:val="24"/>
          <w:szCs w:val="24"/>
        </w:rPr>
        <w:t>24</w:t>
      </w:r>
      <w:r w:rsidR="00400F68" w:rsidRPr="003004F3">
        <w:rPr>
          <w:b/>
          <w:color w:val="1F497D" w:themeColor="text2"/>
          <w:sz w:val="24"/>
          <w:szCs w:val="24"/>
        </w:rPr>
        <w:t xml:space="preserve"> </w:t>
      </w:r>
      <w:r w:rsidR="00CC3F44" w:rsidRPr="003004F3">
        <w:rPr>
          <w:b/>
          <w:color w:val="1F497D" w:themeColor="text2"/>
          <w:sz w:val="24"/>
          <w:szCs w:val="24"/>
        </w:rPr>
        <w:t>mars</w:t>
      </w:r>
      <w:r w:rsidR="000C0299" w:rsidRPr="003004F3">
        <w:rPr>
          <w:b/>
          <w:color w:val="1F497D" w:themeColor="text2"/>
          <w:sz w:val="24"/>
          <w:szCs w:val="24"/>
        </w:rPr>
        <w:t xml:space="preserve"> 2020</w:t>
      </w:r>
    </w:p>
    <w:p w14:paraId="5AC10908" w14:textId="77777777" w:rsidR="00145BE2" w:rsidRPr="00557F7B" w:rsidRDefault="00145BE2" w:rsidP="00766CA1">
      <w:pPr>
        <w:jc w:val="center"/>
        <w:rPr>
          <w:rFonts w:asciiTheme="minorHAnsi" w:hAnsiTheme="minorHAnsi" w:cstheme="minorHAnsi"/>
        </w:rPr>
      </w:pPr>
    </w:p>
    <w:p w14:paraId="3A845558" w14:textId="77777777" w:rsidR="007B19D2" w:rsidRPr="00910E08" w:rsidRDefault="007B19D2" w:rsidP="00766CA1">
      <w:pPr>
        <w:jc w:val="center"/>
        <w:rPr>
          <w:rFonts w:eastAsia="Times New Roman"/>
          <w:b/>
          <w:sz w:val="24"/>
          <w:szCs w:val="24"/>
        </w:rPr>
      </w:pPr>
      <w:r w:rsidRPr="00910E08">
        <w:rPr>
          <w:rFonts w:eastAsia="Times New Roman"/>
          <w:b/>
          <w:sz w:val="24"/>
          <w:szCs w:val="24"/>
        </w:rPr>
        <w:t>Covid-19 (Coronavirus) :</w:t>
      </w:r>
    </w:p>
    <w:p w14:paraId="016DC3C4" w14:textId="73564ECF" w:rsidR="003004F3" w:rsidRPr="00910E08" w:rsidRDefault="003004F3" w:rsidP="00766CA1">
      <w:pPr>
        <w:jc w:val="center"/>
        <w:rPr>
          <w:rFonts w:eastAsia="Times New Roman"/>
          <w:b/>
          <w:sz w:val="24"/>
          <w:szCs w:val="24"/>
        </w:rPr>
      </w:pPr>
      <w:r w:rsidRPr="00910E08">
        <w:rPr>
          <w:rFonts w:eastAsia="Times New Roman"/>
          <w:b/>
          <w:sz w:val="24"/>
          <w:szCs w:val="24"/>
        </w:rPr>
        <w:t xml:space="preserve">Loi du </w:t>
      </w:r>
      <w:r w:rsidR="00AD24EE" w:rsidRPr="00910E08">
        <w:rPr>
          <w:rFonts w:eastAsia="Times New Roman"/>
          <w:b/>
          <w:sz w:val="24"/>
          <w:szCs w:val="24"/>
        </w:rPr>
        <w:t xml:space="preserve">23 mars 2020 </w:t>
      </w:r>
      <w:r w:rsidRPr="00910E08">
        <w:rPr>
          <w:rFonts w:eastAsia="Times New Roman"/>
          <w:b/>
          <w:sz w:val="24"/>
          <w:szCs w:val="24"/>
        </w:rPr>
        <w:t xml:space="preserve">pour faire face à l’épidémie de Covid 19 </w:t>
      </w:r>
    </w:p>
    <w:p w14:paraId="7D5DDCBF" w14:textId="160F4070" w:rsidR="00534FA8" w:rsidRPr="00910E08" w:rsidRDefault="003004F3" w:rsidP="00766CA1">
      <w:pPr>
        <w:jc w:val="center"/>
        <w:rPr>
          <w:rFonts w:eastAsia="Times New Roman"/>
          <w:b/>
          <w:sz w:val="24"/>
          <w:szCs w:val="24"/>
        </w:rPr>
      </w:pPr>
      <w:r w:rsidRPr="00910E08">
        <w:rPr>
          <w:rFonts w:eastAsia="Times New Roman"/>
          <w:b/>
          <w:sz w:val="24"/>
          <w:szCs w:val="24"/>
        </w:rPr>
        <w:t>M</w:t>
      </w:r>
      <w:r w:rsidR="00BC3276" w:rsidRPr="00910E08">
        <w:rPr>
          <w:rFonts w:eastAsia="Times New Roman"/>
          <w:b/>
          <w:sz w:val="24"/>
          <w:szCs w:val="24"/>
        </w:rPr>
        <w:t xml:space="preserve">esures d’ordre social </w:t>
      </w:r>
    </w:p>
    <w:p w14:paraId="6227D364" w14:textId="77777777" w:rsidR="00394E16" w:rsidRPr="00910E08" w:rsidRDefault="00394E16" w:rsidP="00766CA1">
      <w:pPr>
        <w:jc w:val="center"/>
        <w:rPr>
          <w:rFonts w:eastAsia="Times New Roman"/>
          <w:b/>
          <w:sz w:val="24"/>
          <w:szCs w:val="24"/>
        </w:rPr>
      </w:pPr>
    </w:p>
    <w:p w14:paraId="172524E2" w14:textId="6D08473B" w:rsidR="00D26C48" w:rsidRPr="00910E08" w:rsidRDefault="00534FA8" w:rsidP="00766CA1">
      <w:pPr>
        <w:jc w:val="both"/>
        <w:rPr>
          <w:rFonts w:eastAsia="Times New Roman"/>
          <w:sz w:val="24"/>
          <w:szCs w:val="24"/>
        </w:rPr>
      </w:pPr>
      <w:r w:rsidRPr="00910E08">
        <w:rPr>
          <w:rFonts w:eastAsia="Times New Roman"/>
          <w:sz w:val="24"/>
          <w:szCs w:val="24"/>
        </w:rPr>
        <w:t xml:space="preserve">Dans le cadre de la crise sanitaire actuelle qui impacte lourdement l’activité des entreprises et les relations contractuelles avec leurs salariés, </w:t>
      </w:r>
      <w:r w:rsidR="00D26C48" w:rsidRPr="00910E08">
        <w:rPr>
          <w:rFonts w:eastAsia="Times New Roman"/>
          <w:sz w:val="24"/>
          <w:szCs w:val="24"/>
        </w:rPr>
        <w:t xml:space="preserve">le projet de loi pour faire face à l’épidémie de </w:t>
      </w:r>
      <w:r w:rsidR="00AD24EE" w:rsidRPr="00910E08">
        <w:rPr>
          <w:rFonts w:eastAsia="Times New Roman"/>
          <w:sz w:val="24"/>
          <w:szCs w:val="24"/>
        </w:rPr>
        <w:t>C</w:t>
      </w:r>
      <w:r w:rsidR="00D26C48" w:rsidRPr="00910E08">
        <w:rPr>
          <w:rFonts w:eastAsia="Times New Roman"/>
          <w:sz w:val="24"/>
          <w:szCs w:val="24"/>
        </w:rPr>
        <w:t>ovid 1</w:t>
      </w:r>
      <w:r w:rsidR="00164619" w:rsidRPr="00910E08">
        <w:rPr>
          <w:rFonts w:eastAsia="Times New Roman"/>
          <w:sz w:val="24"/>
          <w:szCs w:val="24"/>
        </w:rPr>
        <w:t xml:space="preserve">9 a été adopté le 22 mars 2020. </w:t>
      </w:r>
    </w:p>
    <w:p w14:paraId="23551888" w14:textId="6F985D13" w:rsidR="00D26C48" w:rsidRDefault="00D26C48" w:rsidP="00766CA1">
      <w:pPr>
        <w:jc w:val="both"/>
        <w:rPr>
          <w:rFonts w:eastAsia="Times New Roman"/>
          <w:sz w:val="24"/>
          <w:szCs w:val="24"/>
        </w:rPr>
      </w:pPr>
      <w:r w:rsidRPr="00910E08">
        <w:rPr>
          <w:rFonts w:eastAsia="Times New Roman"/>
          <w:sz w:val="24"/>
          <w:szCs w:val="24"/>
        </w:rPr>
        <w:t xml:space="preserve">Il contient un certain </w:t>
      </w:r>
      <w:r w:rsidR="00106A61">
        <w:rPr>
          <w:rFonts w:eastAsia="Times New Roman"/>
          <w:sz w:val="24"/>
          <w:szCs w:val="24"/>
        </w:rPr>
        <w:t xml:space="preserve">nombre </w:t>
      </w:r>
      <w:r w:rsidRPr="00910E08">
        <w:rPr>
          <w:rFonts w:eastAsia="Times New Roman"/>
          <w:sz w:val="24"/>
          <w:szCs w:val="24"/>
        </w:rPr>
        <w:t>de</w:t>
      </w:r>
      <w:r w:rsidR="00534FA8" w:rsidRPr="00910E08">
        <w:rPr>
          <w:rFonts w:eastAsia="Times New Roman"/>
          <w:sz w:val="24"/>
          <w:szCs w:val="24"/>
        </w:rPr>
        <w:t xml:space="preserve"> mesures </w:t>
      </w:r>
      <w:r w:rsidRPr="00910E08">
        <w:rPr>
          <w:rFonts w:eastAsia="Times New Roman"/>
          <w:sz w:val="24"/>
          <w:szCs w:val="24"/>
        </w:rPr>
        <w:t xml:space="preserve">en matière </w:t>
      </w:r>
      <w:r w:rsidR="00534FA8" w:rsidRPr="00910E08">
        <w:rPr>
          <w:rFonts w:eastAsia="Times New Roman"/>
          <w:sz w:val="24"/>
          <w:szCs w:val="24"/>
        </w:rPr>
        <w:t>sociale</w:t>
      </w:r>
      <w:r w:rsidRPr="00910E08">
        <w:rPr>
          <w:rFonts w:eastAsia="Times New Roman"/>
          <w:sz w:val="24"/>
          <w:szCs w:val="24"/>
        </w:rPr>
        <w:t xml:space="preserve"> qui n’ont pas vocation à être p</w:t>
      </w:r>
      <w:r w:rsidR="00164619" w:rsidRPr="00910E08">
        <w:rPr>
          <w:rFonts w:eastAsia="Times New Roman"/>
          <w:sz w:val="24"/>
          <w:szCs w:val="24"/>
        </w:rPr>
        <w:t>érennes mais bien à accompagner</w:t>
      </w:r>
      <w:r w:rsidRPr="00910E08">
        <w:rPr>
          <w:rFonts w:eastAsia="Times New Roman"/>
          <w:sz w:val="24"/>
          <w:szCs w:val="24"/>
        </w:rPr>
        <w:t xml:space="preserve"> les salariés et les entreprises pendant la crise sanitaire.</w:t>
      </w:r>
    </w:p>
    <w:p w14:paraId="1EBBEA91" w14:textId="77777777" w:rsidR="00766CA1" w:rsidRPr="00910E08" w:rsidRDefault="00766CA1" w:rsidP="00766CA1">
      <w:pPr>
        <w:jc w:val="both"/>
        <w:rPr>
          <w:rFonts w:eastAsia="Times New Roman"/>
          <w:sz w:val="24"/>
          <w:szCs w:val="24"/>
        </w:rPr>
      </w:pPr>
    </w:p>
    <w:p w14:paraId="48882219" w14:textId="4170C662" w:rsidR="007F4BA0" w:rsidRDefault="007F4BA0" w:rsidP="00766CA1">
      <w:pPr>
        <w:jc w:val="both"/>
        <w:rPr>
          <w:rFonts w:eastAsia="Times New Roman"/>
          <w:b/>
          <w:sz w:val="24"/>
          <w:szCs w:val="24"/>
        </w:rPr>
      </w:pPr>
      <w:r w:rsidRPr="00910E08">
        <w:rPr>
          <w:rFonts w:eastAsia="Times New Roman"/>
          <w:b/>
          <w:sz w:val="24"/>
          <w:szCs w:val="24"/>
        </w:rPr>
        <w:t xml:space="preserve">Ces différentes dispositions deviendront </w:t>
      </w:r>
      <w:r w:rsidR="00527591" w:rsidRPr="00910E08">
        <w:rPr>
          <w:rFonts w:eastAsia="Times New Roman"/>
          <w:b/>
          <w:sz w:val="24"/>
          <w:szCs w:val="24"/>
        </w:rPr>
        <w:t>effectives,</w:t>
      </w:r>
      <w:r w:rsidRPr="00910E08">
        <w:rPr>
          <w:rFonts w:eastAsia="Times New Roman"/>
          <w:b/>
          <w:sz w:val="24"/>
          <w:szCs w:val="24"/>
        </w:rPr>
        <w:t xml:space="preserve"> sous réserve de la parution des ordonnances les </w:t>
      </w:r>
      <w:r w:rsidR="00D26C48" w:rsidRPr="00910E08">
        <w:rPr>
          <w:rFonts w:eastAsia="Times New Roman"/>
          <w:b/>
          <w:sz w:val="24"/>
          <w:szCs w:val="24"/>
        </w:rPr>
        <w:t>concernant.</w:t>
      </w:r>
      <w:r w:rsidRPr="00910E08">
        <w:rPr>
          <w:rFonts w:eastAsia="Times New Roman"/>
          <w:b/>
          <w:sz w:val="24"/>
          <w:szCs w:val="24"/>
        </w:rPr>
        <w:t xml:space="preserve"> Compte tenu de la </w:t>
      </w:r>
      <w:r w:rsidR="00527591" w:rsidRPr="00910E08">
        <w:rPr>
          <w:rFonts w:eastAsia="Times New Roman"/>
          <w:b/>
          <w:sz w:val="24"/>
          <w:szCs w:val="24"/>
        </w:rPr>
        <w:t>situation,</w:t>
      </w:r>
      <w:r w:rsidRPr="00910E08">
        <w:rPr>
          <w:rFonts w:eastAsia="Times New Roman"/>
          <w:b/>
          <w:sz w:val="24"/>
          <w:szCs w:val="24"/>
        </w:rPr>
        <w:t xml:space="preserve"> les ordonnances devraient être publiées </w:t>
      </w:r>
      <w:r w:rsidR="00D26C48" w:rsidRPr="00910E08">
        <w:rPr>
          <w:rFonts w:eastAsia="Times New Roman"/>
          <w:b/>
          <w:sz w:val="24"/>
          <w:szCs w:val="24"/>
        </w:rPr>
        <w:t>rapidement.</w:t>
      </w:r>
    </w:p>
    <w:p w14:paraId="1E776F33" w14:textId="77777777" w:rsidR="00766CA1" w:rsidRPr="00910E08" w:rsidRDefault="00766CA1" w:rsidP="00766CA1">
      <w:pPr>
        <w:jc w:val="both"/>
        <w:rPr>
          <w:rFonts w:eastAsia="Times New Roman"/>
          <w:b/>
          <w:sz w:val="24"/>
          <w:szCs w:val="24"/>
        </w:rPr>
      </w:pPr>
    </w:p>
    <w:p w14:paraId="65A400E1" w14:textId="399869FA" w:rsidR="003004F3" w:rsidRPr="00910E08" w:rsidRDefault="007F4BA0" w:rsidP="00766CA1">
      <w:pPr>
        <w:jc w:val="both"/>
        <w:rPr>
          <w:rFonts w:eastAsia="Times New Roman"/>
          <w:sz w:val="24"/>
          <w:szCs w:val="24"/>
        </w:rPr>
      </w:pPr>
      <w:r w:rsidRPr="00910E08">
        <w:rPr>
          <w:rFonts w:eastAsia="Times New Roman"/>
          <w:sz w:val="24"/>
          <w:szCs w:val="24"/>
        </w:rPr>
        <w:t xml:space="preserve">Par ailleurs, </w:t>
      </w:r>
      <w:r w:rsidR="00D26C48" w:rsidRPr="00910E08">
        <w:rPr>
          <w:rFonts w:eastAsia="Times New Roman"/>
          <w:sz w:val="24"/>
          <w:szCs w:val="24"/>
        </w:rPr>
        <w:t>sous réserve de précisions expresses, c</w:t>
      </w:r>
      <w:r w:rsidR="00534FA8" w:rsidRPr="00910E08">
        <w:rPr>
          <w:rFonts w:eastAsia="Times New Roman"/>
          <w:sz w:val="24"/>
          <w:szCs w:val="24"/>
        </w:rPr>
        <w:t>ertaines</w:t>
      </w:r>
      <w:r w:rsidRPr="00910E08">
        <w:rPr>
          <w:rFonts w:eastAsia="Times New Roman"/>
          <w:sz w:val="24"/>
          <w:szCs w:val="24"/>
        </w:rPr>
        <w:t xml:space="preserve"> mesures </w:t>
      </w:r>
      <w:r w:rsidR="00534FA8" w:rsidRPr="00910E08">
        <w:rPr>
          <w:rFonts w:eastAsia="Times New Roman"/>
          <w:sz w:val="24"/>
          <w:szCs w:val="24"/>
        </w:rPr>
        <w:t xml:space="preserve">pourront entrer en application, de manière rétroactive, au 12 mars 2020. </w:t>
      </w:r>
    </w:p>
    <w:p w14:paraId="5FFA9E14" w14:textId="4342E80B" w:rsidR="007F4BA0" w:rsidRDefault="007F4BA0" w:rsidP="00766CA1">
      <w:pPr>
        <w:jc w:val="both"/>
        <w:rPr>
          <w:rFonts w:eastAsia="Times New Roman"/>
          <w:sz w:val="24"/>
          <w:szCs w:val="24"/>
        </w:rPr>
      </w:pPr>
      <w:r w:rsidRPr="00910E08">
        <w:rPr>
          <w:rFonts w:eastAsia="Times New Roman"/>
          <w:sz w:val="24"/>
          <w:szCs w:val="24"/>
        </w:rPr>
        <w:t xml:space="preserve">Ces dispositions sont les </w:t>
      </w:r>
      <w:r w:rsidR="00527591" w:rsidRPr="00910E08">
        <w:rPr>
          <w:rFonts w:eastAsia="Times New Roman"/>
          <w:sz w:val="24"/>
          <w:szCs w:val="24"/>
        </w:rPr>
        <w:t>suivantes.</w:t>
      </w:r>
    </w:p>
    <w:p w14:paraId="78CCCE6D" w14:textId="77777777" w:rsidR="00766CA1" w:rsidRPr="00910E08" w:rsidRDefault="00766CA1" w:rsidP="00766CA1">
      <w:pPr>
        <w:jc w:val="both"/>
        <w:rPr>
          <w:rFonts w:eastAsia="Times New Roman"/>
          <w:sz w:val="24"/>
          <w:szCs w:val="24"/>
        </w:rPr>
      </w:pPr>
    </w:p>
    <w:p w14:paraId="58A0B799" w14:textId="7591B46E" w:rsidR="00534FA8" w:rsidRPr="00910E08" w:rsidRDefault="00534FA8" w:rsidP="00766CA1">
      <w:pPr>
        <w:pStyle w:val="Paragraphedeliste"/>
        <w:numPr>
          <w:ilvl w:val="0"/>
          <w:numId w:val="39"/>
        </w:numPr>
        <w:spacing w:after="0" w:line="240" w:lineRule="auto"/>
        <w:jc w:val="both"/>
        <w:rPr>
          <w:rFonts w:ascii="Arial" w:eastAsia="Times New Roman" w:hAnsi="Arial" w:cs="Arial"/>
          <w:b/>
          <w:sz w:val="24"/>
          <w:szCs w:val="24"/>
        </w:rPr>
      </w:pPr>
      <w:r w:rsidRPr="00910E08">
        <w:rPr>
          <w:rFonts w:ascii="Arial" w:eastAsia="Times New Roman" w:hAnsi="Arial" w:cs="Arial"/>
          <w:b/>
          <w:sz w:val="24"/>
          <w:szCs w:val="24"/>
        </w:rPr>
        <w:t xml:space="preserve">En matière de congés payés et de jours de RTT </w:t>
      </w:r>
    </w:p>
    <w:p w14:paraId="34D274BD" w14:textId="1743CD61" w:rsidR="005C2C2F" w:rsidRDefault="005C2C2F" w:rsidP="00766CA1">
      <w:pPr>
        <w:jc w:val="both"/>
        <w:rPr>
          <w:rStyle w:val="lev"/>
          <w:b w:val="0"/>
          <w:sz w:val="24"/>
          <w:szCs w:val="24"/>
        </w:rPr>
      </w:pPr>
      <w:r>
        <w:rPr>
          <w:sz w:val="24"/>
          <w:szCs w:val="24"/>
        </w:rPr>
        <w:t>U</w:t>
      </w:r>
      <w:r w:rsidR="00534FA8" w:rsidRPr="00910E08">
        <w:rPr>
          <w:sz w:val="24"/>
          <w:szCs w:val="24"/>
        </w:rPr>
        <w:t>n</w:t>
      </w:r>
      <w:r w:rsidR="00534FA8" w:rsidRPr="00910E08">
        <w:rPr>
          <w:b/>
          <w:sz w:val="24"/>
          <w:szCs w:val="24"/>
        </w:rPr>
        <w:t xml:space="preserve"> </w:t>
      </w:r>
      <w:r w:rsidR="00534FA8" w:rsidRPr="00910E08">
        <w:rPr>
          <w:rStyle w:val="lev"/>
          <w:b w:val="0"/>
          <w:sz w:val="24"/>
          <w:szCs w:val="24"/>
        </w:rPr>
        <w:t>accord d’entreprise ou de branche</w:t>
      </w:r>
      <w:r>
        <w:rPr>
          <w:rStyle w:val="lev"/>
          <w:b w:val="0"/>
          <w:sz w:val="24"/>
          <w:szCs w:val="24"/>
        </w:rPr>
        <w:t xml:space="preserve"> peut autoriser</w:t>
      </w:r>
      <w:r w:rsidR="00534FA8" w:rsidRPr="00910E08">
        <w:rPr>
          <w:b/>
          <w:sz w:val="24"/>
          <w:szCs w:val="24"/>
        </w:rPr>
        <w:t xml:space="preserve"> </w:t>
      </w:r>
      <w:r w:rsidR="00534FA8" w:rsidRPr="00910E08">
        <w:rPr>
          <w:sz w:val="24"/>
          <w:szCs w:val="24"/>
        </w:rPr>
        <w:t>l’employeur à</w:t>
      </w:r>
      <w:r w:rsidR="00534FA8" w:rsidRPr="00910E08">
        <w:rPr>
          <w:b/>
          <w:sz w:val="24"/>
          <w:szCs w:val="24"/>
        </w:rPr>
        <w:t xml:space="preserve"> </w:t>
      </w:r>
      <w:r w:rsidR="00534FA8" w:rsidRPr="00910E08">
        <w:rPr>
          <w:rStyle w:val="lev"/>
          <w:b w:val="0"/>
          <w:sz w:val="24"/>
          <w:szCs w:val="24"/>
        </w:rPr>
        <w:t xml:space="preserve">imposer </w:t>
      </w:r>
      <w:r w:rsidR="001F3886">
        <w:rPr>
          <w:rStyle w:val="lev"/>
          <w:b w:val="0"/>
          <w:sz w:val="24"/>
          <w:szCs w:val="24"/>
        </w:rPr>
        <w:t xml:space="preserve">ou à modifier les dates de </w:t>
      </w:r>
      <w:r w:rsidR="00534FA8" w:rsidRPr="00910E08">
        <w:rPr>
          <w:rStyle w:val="lev"/>
          <w:b w:val="0"/>
          <w:sz w:val="24"/>
          <w:szCs w:val="24"/>
        </w:rPr>
        <w:t xml:space="preserve">prise </w:t>
      </w:r>
      <w:r w:rsidR="001F3886">
        <w:rPr>
          <w:rStyle w:val="lev"/>
          <w:b w:val="0"/>
          <w:sz w:val="24"/>
          <w:szCs w:val="24"/>
        </w:rPr>
        <w:t xml:space="preserve">d’une partie </w:t>
      </w:r>
      <w:r w:rsidR="00534FA8" w:rsidRPr="00910E08">
        <w:rPr>
          <w:rStyle w:val="lev"/>
          <w:b w:val="0"/>
          <w:sz w:val="24"/>
          <w:szCs w:val="24"/>
        </w:rPr>
        <w:t>de</w:t>
      </w:r>
      <w:r w:rsidR="001F3886">
        <w:rPr>
          <w:rStyle w:val="lev"/>
          <w:b w:val="0"/>
          <w:sz w:val="24"/>
          <w:szCs w:val="24"/>
        </w:rPr>
        <w:t>s</w:t>
      </w:r>
      <w:r w:rsidR="00534FA8" w:rsidRPr="00910E08">
        <w:rPr>
          <w:rStyle w:val="lev"/>
          <w:b w:val="0"/>
          <w:sz w:val="24"/>
          <w:szCs w:val="24"/>
        </w:rPr>
        <w:t xml:space="preserve"> congés payés</w:t>
      </w:r>
      <w:r w:rsidR="001F3886">
        <w:rPr>
          <w:rStyle w:val="lev"/>
          <w:b w:val="0"/>
          <w:sz w:val="24"/>
          <w:szCs w:val="24"/>
        </w:rPr>
        <w:t xml:space="preserve">, dans </w:t>
      </w:r>
      <w:r w:rsidR="00766CA1">
        <w:rPr>
          <w:rStyle w:val="lev"/>
          <w:b w:val="0"/>
          <w:sz w:val="24"/>
          <w:szCs w:val="24"/>
        </w:rPr>
        <w:t>la limite de 06 jours ouvrables</w:t>
      </w:r>
      <w:r>
        <w:rPr>
          <w:rStyle w:val="lev"/>
          <w:b w:val="0"/>
          <w:sz w:val="24"/>
          <w:szCs w:val="24"/>
        </w:rPr>
        <w:t>, en dérogeant aux délais de prévenance et aux  modalités de prise des congés payés .</w:t>
      </w:r>
    </w:p>
    <w:p w14:paraId="67188D96" w14:textId="37385B9F" w:rsidR="00534FA8" w:rsidRDefault="009C6797" w:rsidP="00766CA1">
      <w:pPr>
        <w:jc w:val="both"/>
        <w:rPr>
          <w:sz w:val="24"/>
          <w:szCs w:val="24"/>
        </w:rPr>
      </w:pPr>
      <w:r w:rsidRPr="00910E08">
        <w:rPr>
          <w:sz w:val="24"/>
          <w:szCs w:val="24"/>
        </w:rPr>
        <w:t>L’employeur a également la p</w:t>
      </w:r>
      <w:r w:rsidR="00534FA8" w:rsidRPr="00910E08">
        <w:rPr>
          <w:sz w:val="24"/>
          <w:szCs w:val="24"/>
        </w:rPr>
        <w:t>ossibilité d’</w:t>
      </w:r>
      <w:r w:rsidR="00534FA8" w:rsidRPr="00910E08">
        <w:rPr>
          <w:rStyle w:val="lev"/>
          <w:b w:val="0"/>
          <w:sz w:val="24"/>
          <w:szCs w:val="24"/>
        </w:rPr>
        <w:t>imposer ou de modifier unilatéralement</w:t>
      </w:r>
      <w:r w:rsidR="00534FA8" w:rsidRPr="00910E08">
        <w:rPr>
          <w:sz w:val="24"/>
          <w:szCs w:val="24"/>
        </w:rPr>
        <w:t xml:space="preserve"> les dates des jours de réduction du temps de travail (RTT), des jours de repos des salariés en convention de forfait et des jours de repos affectés sur le compte épargne temps (CET)</w:t>
      </w:r>
      <w:r w:rsidR="00D26C48" w:rsidRPr="00910E08">
        <w:rPr>
          <w:sz w:val="24"/>
          <w:szCs w:val="24"/>
        </w:rPr>
        <w:t xml:space="preserve"> en dérogeant aux délais de prévenance et aux modalités d’utilisation.</w:t>
      </w:r>
    </w:p>
    <w:p w14:paraId="081FB137" w14:textId="77777777" w:rsidR="00766CA1" w:rsidRPr="00910E08" w:rsidRDefault="00766CA1" w:rsidP="00766CA1">
      <w:pPr>
        <w:jc w:val="both"/>
        <w:rPr>
          <w:sz w:val="24"/>
          <w:szCs w:val="24"/>
        </w:rPr>
      </w:pPr>
    </w:p>
    <w:p w14:paraId="6D5A7594" w14:textId="14519A71" w:rsidR="007F4BA0" w:rsidRPr="00910E08" w:rsidRDefault="007F4BA0" w:rsidP="00766CA1">
      <w:pPr>
        <w:pStyle w:val="Paragraphedeliste"/>
        <w:numPr>
          <w:ilvl w:val="0"/>
          <w:numId w:val="39"/>
        </w:numPr>
        <w:spacing w:after="0" w:line="240" w:lineRule="auto"/>
        <w:jc w:val="both"/>
        <w:rPr>
          <w:rFonts w:ascii="Arial" w:eastAsia="Times New Roman" w:hAnsi="Arial" w:cs="Arial"/>
          <w:b/>
          <w:sz w:val="24"/>
          <w:szCs w:val="24"/>
        </w:rPr>
      </w:pPr>
      <w:r w:rsidRPr="00910E08">
        <w:rPr>
          <w:rFonts w:ascii="Arial" w:hAnsi="Arial" w:cs="Arial"/>
          <w:b/>
          <w:sz w:val="24"/>
          <w:szCs w:val="24"/>
        </w:rPr>
        <w:t xml:space="preserve">En matière de durée du travail </w:t>
      </w:r>
    </w:p>
    <w:p w14:paraId="1B4A610C" w14:textId="177C832F" w:rsidR="00D26C48" w:rsidRPr="00910E08" w:rsidRDefault="007F4BA0" w:rsidP="00766CA1">
      <w:pPr>
        <w:jc w:val="both"/>
        <w:rPr>
          <w:sz w:val="24"/>
          <w:szCs w:val="24"/>
        </w:rPr>
      </w:pPr>
      <w:r w:rsidRPr="00910E08">
        <w:rPr>
          <w:rFonts w:eastAsia="Times New Roman"/>
          <w:sz w:val="24"/>
          <w:szCs w:val="24"/>
        </w:rPr>
        <w:t xml:space="preserve">Certaines entreprises relevant de secteurs particulièrement nécessaires à la sécurité de la Nation </w:t>
      </w:r>
      <w:r w:rsidRPr="00910E08">
        <w:rPr>
          <w:sz w:val="24"/>
          <w:szCs w:val="24"/>
        </w:rPr>
        <w:t xml:space="preserve">ou à la continuité de la vie économique et sociale </w:t>
      </w:r>
      <w:r w:rsidR="00527591" w:rsidRPr="00910E08">
        <w:rPr>
          <w:sz w:val="24"/>
          <w:szCs w:val="24"/>
        </w:rPr>
        <w:t>pourront déroger</w:t>
      </w:r>
      <w:r w:rsidRPr="00910E08">
        <w:rPr>
          <w:sz w:val="24"/>
          <w:szCs w:val="24"/>
        </w:rPr>
        <w:t xml:space="preserve"> </w:t>
      </w:r>
      <w:r w:rsidRPr="00910E08">
        <w:rPr>
          <w:rStyle w:val="lev"/>
          <w:b w:val="0"/>
          <w:sz w:val="24"/>
          <w:szCs w:val="24"/>
        </w:rPr>
        <w:t xml:space="preserve">aux règles d’ordre public et </w:t>
      </w:r>
      <w:r w:rsidR="00D26C48" w:rsidRPr="00910E08">
        <w:rPr>
          <w:rStyle w:val="lev"/>
          <w:b w:val="0"/>
          <w:sz w:val="24"/>
          <w:szCs w:val="24"/>
        </w:rPr>
        <w:t xml:space="preserve">aux stipulations </w:t>
      </w:r>
      <w:r w:rsidRPr="00910E08">
        <w:rPr>
          <w:rStyle w:val="lev"/>
          <w:b w:val="0"/>
          <w:sz w:val="24"/>
          <w:szCs w:val="24"/>
        </w:rPr>
        <w:t>conventionnelles</w:t>
      </w:r>
      <w:r w:rsidRPr="00910E08">
        <w:rPr>
          <w:sz w:val="24"/>
          <w:szCs w:val="24"/>
        </w:rPr>
        <w:t xml:space="preserve"> sur la durée du travail, le repos </w:t>
      </w:r>
      <w:r w:rsidR="00527591" w:rsidRPr="00910E08">
        <w:rPr>
          <w:sz w:val="24"/>
          <w:szCs w:val="24"/>
        </w:rPr>
        <w:t>hebdomadaire et le repos</w:t>
      </w:r>
      <w:r w:rsidRPr="00910E08">
        <w:rPr>
          <w:sz w:val="24"/>
          <w:szCs w:val="24"/>
        </w:rPr>
        <w:t xml:space="preserve"> </w:t>
      </w:r>
      <w:r w:rsidR="00D26C48" w:rsidRPr="00910E08">
        <w:rPr>
          <w:sz w:val="24"/>
          <w:szCs w:val="24"/>
        </w:rPr>
        <w:t>dominical.</w:t>
      </w:r>
    </w:p>
    <w:p w14:paraId="580B4386" w14:textId="168AE0F0" w:rsidR="00527591" w:rsidRDefault="00527591" w:rsidP="00766CA1">
      <w:pPr>
        <w:jc w:val="both"/>
        <w:rPr>
          <w:sz w:val="24"/>
          <w:szCs w:val="24"/>
        </w:rPr>
      </w:pPr>
      <w:r w:rsidRPr="00910E08">
        <w:rPr>
          <w:sz w:val="24"/>
          <w:szCs w:val="24"/>
        </w:rPr>
        <w:t>Il est possible que le secteur du bâtiment puisse être concerné par ces mesures dérogatoires.</w:t>
      </w:r>
    </w:p>
    <w:p w14:paraId="74E531BE" w14:textId="77777777" w:rsidR="005C2C2F" w:rsidRPr="00910E08" w:rsidRDefault="005C2C2F" w:rsidP="00766CA1">
      <w:pPr>
        <w:jc w:val="both"/>
        <w:rPr>
          <w:sz w:val="24"/>
          <w:szCs w:val="24"/>
        </w:rPr>
      </w:pPr>
    </w:p>
    <w:p w14:paraId="51243241" w14:textId="73B1EA2A" w:rsidR="00D26C48" w:rsidRPr="00910E08" w:rsidRDefault="00D26C48" w:rsidP="00766CA1">
      <w:pPr>
        <w:pStyle w:val="Paragraphedeliste"/>
        <w:numPr>
          <w:ilvl w:val="0"/>
          <w:numId w:val="39"/>
        </w:numPr>
        <w:spacing w:after="0" w:line="240" w:lineRule="auto"/>
        <w:jc w:val="both"/>
        <w:rPr>
          <w:rFonts w:ascii="Arial" w:hAnsi="Arial" w:cs="Arial"/>
          <w:b/>
          <w:sz w:val="24"/>
          <w:szCs w:val="24"/>
        </w:rPr>
      </w:pPr>
      <w:r w:rsidRPr="00910E08">
        <w:rPr>
          <w:rFonts w:ascii="Arial" w:hAnsi="Arial" w:cs="Arial"/>
          <w:b/>
          <w:sz w:val="24"/>
          <w:szCs w:val="24"/>
        </w:rPr>
        <w:t xml:space="preserve">En matière d’activité partielle </w:t>
      </w:r>
    </w:p>
    <w:p w14:paraId="7E502535" w14:textId="630378CF" w:rsidR="00551001" w:rsidRPr="00910E08" w:rsidRDefault="00D26C48" w:rsidP="00766CA1">
      <w:pPr>
        <w:jc w:val="both"/>
        <w:rPr>
          <w:sz w:val="24"/>
          <w:szCs w:val="24"/>
        </w:rPr>
      </w:pPr>
      <w:r w:rsidRPr="00910E08">
        <w:rPr>
          <w:sz w:val="24"/>
          <w:szCs w:val="24"/>
        </w:rPr>
        <w:t xml:space="preserve">Afin de limiter les ruptures de contrat de travail et d’atténuer les effets de la baisse </w:t>
      </w:r>
      <w:r w:rsidR="00AD24EE" w:rsidRPr="00910E08">
        <w:rPr>
          <w:sz w:val="24"/>
          <w:szCs w:val="24"/>
        </w:rPr>
        <w:t>d’activité,</w:t>
      </w:r>
      <w:r w:rsidR="00551001" w:rsidRPr="00910E08">
        <w:rPr>
          <w:sz w:val="24"/>
          <w:szCs w:val="24"/>
        </w:rPr>
        <w:t xml:space="preserve"> il est prévu de renforcer le</w:t>
      </w:r>
      <w:r w:rsidRPr="00910E08">
        <w:rPr>
          <w:sz w:val="24"/>
          <w:szCs w:val="24"/>
        </w:rPr>
        <w:t xml:space="preserve"> recours à l’activité partielle pour toutes les entreprises, quelle que soit leur </w:t>
      </w:r>
      <w:r w:rsidR="00551001" w:rsidRPr="00910E08">
        <w:rPr>
          <w:sz w:val="24"/>
          <w:szCs w:val="24"/>
        </w:rPr>
        <w:t>taille,</w:t>
      </w:r>
      <w:r w:rsidRPr="00910E08">
        <w:rPr>
          <w:sz w:val="24"/>
          <w:szCs w:val="24"/>
        </w:rPr>
        <w:t xml:space="preserve"> notamment en adaptant</w:t>
      </w:r>
      <w:r w:rsidR="00551001" w:rsidRPr="00910E08">
        <w:rPr>
          <w:sz w:val="24"/>
          <w:szCs w:val="24"/>
        </w:rPr>
        <w:t xml:space="preserve"> de manière temporaire le régime social </w:t>
      </w:r>
      <w:r w:rsidR="00725995" w:rsidRPr="00910E08">
        <w:rPr>
          <w:sz w:val="24"/>
          <w:szCs w:val="24"/>
        </w:rPr>
        <w:t>applicable aux</w:t>
      </w:r>
      <w:r w:rsidR="00551001" w:rsidRPr="00910E08">
        <w:rPr>
          <w:sz w:val="24"/>
          <w:szCs w:val="24"/>
        </w:rPr>
        <w:t xml:space="preserve"> indemnités d’activité </w:t>
      </w:r>
      <w:r w:rsidR="00725995" w:rsidRPr="00910E08">
        <w:rPr>
          <w:sz w:val="24"/>
          <w:szCs w:val="24"/>
        </w:rPr>
        <w:t>partielle,</w:t>
      </w:r>
      <w:r w:rsidR="00551001" w:rsidRPr="00910E08">
        <w:rPr>
          <w:sz w:val="24"/>
          <w:szCs w:val="24"/>
        </w:rPr>
        <w:t xml:space="preserve"> en l’étendant à de nouvelles catégories de bénéficiaires</w:t>
      </w:r>
      <w:r w:rsidR="003004F3" w:rsidRPr="00910E08">
        <w:rPr>
          <w:sz w:val="24"/>
          <w:szCs w:val="24"/>
        </w:rPr>
        <w:t xml:space="preserve"> et </w:t>
      </w:r>
      <w:r w:rsidR="00551001" w:rsidRPr="00910E08">
        <w:rPr>
          <w:sz w:val="24"/>
          <w:szCs w:val="24"/>
        </w:rPr>
        <w:t xml:space="preserve">en réduisant le reste à charge pour </w:t>
      </w:r>
      <w:r w:rsidR="00164619" w:rsidRPr="00910E08">
        <w:rPr>
          <w:sz w:val="24"/>
          <w:szCs w:val="24"/>
        </w:rPr>
        <w:t xml:space="preserve">l’employeur (voir circulaire DAS </w:t>
      </w:r>
      <w:r w:rsidR="008112CC" w:rsidRPr="00910E08">
        <w:rPr>
          <w:sz w:val="24"/>
          <w:szCs w:val="24"/>
        </w:rPr>
        <w:t>N° 54</w:t>
      </w:r>
      <w:r w:rsidR="00164619" w:rsidRPr="00910E08">
        <w:rPr>
          <w:sz w:val="24"/>
          <w:szCs w:val="24"/>
        </w:rPr>
        <w:t xml:space="preserve"> « Activité partielle »). </w:t>
      </w:r>
    </w:p>
    <w:p w14:paraId="0B71516F" w14:textId="6813B812" w:rsidR="00D26C48" w:rsidRPr="00910E08" w:rsidRDefault="00551001" w:rsidP="00766CA1">
      <w:pPr>
        <w:pStyle w:val="Paragraphedeliste"/>
        <w:numPr>
          <w:ilvl w:val="0"/>
          <w:numId w:val="39"/>
        </w:numPr>
        <w:spacing w:after="0" w:line="240" w:lineRule="auto"/>
        <w:jc w:val="both"/>
        <w:rPr>
          <w:rFonts w:ascii="Arial" w:hAnsi="Arial" w:cs="Arial"/>
          <w:b/>
          <w:sz w:val="24"/>
          <w:szCs w:val="24"/>
        </w:rPr>
      </w:pPr>
      <w:r w:rsidRPr="00910E08">
        <w:rPr>
          <w:rFonts w:ascii="Arial" w:hAnsi="Arial" w:cs="Arial"/>
          <w:b/>
          <w:sz w:val="24"/>
          <w:szCs w:val="24"/>
        </w:rPr>
        <w:lastRenderedPageBreak/>
        <w:t xml:space="preserve">En matière d’arrêt de travail  </w:t>
      </w:r>
    </w:p>
    <w:p w14:paraId="6D97F9A1" w14:textId="689D1EEB" w:rsidR="00551001" w:rsidRDefault="00551001" w:rsidP="00766CA1">
      <w:pPr>
        <w:jc w:val="both"/>
        <w:rPr>
          <w:sz w:val="24"/>
          <w:szCs w:val="24"/>
        </w:rPr>
      </w:pPr>
      <w:r w:rsidRPr="00910E08">
        <w:rPr>
          <w:sz w:val="24"/>
          <w:szCs w:val="24"/>
        </w:rPr>
        <w:t xml:space="preserve">Les indemnités journalières de sécurité sociale sont versées, sans délai de carence, c’est-à-dire dès le premier jour d’arrêt et ce, </w:t>
      </w:r>
      <w:r w:rsidR="00164619" w:rsidRPr="00910E08">
        <w:rPr>
          <w:sz w:val="24"/>
          <w:szCs w:val="24"/>
        </w:rPr>
        <w:t xml:space="preserve">pour l’ensemble des arrêts mis en place dans le cadre de la lutte contre la propagation du virus (voir Circulaire DAS </w:t>
      </w:r>
      <w:r w:rsidR="008112CC" w:rsidRPr="00910E08">
        <w:rPr>
          <w:sz w:val="24"/>
          <w:szCs w:val="24"/>
        </w:rPr>
        <w:t>N° 59</w:t>
      </w:r>
      <w:r w:rsidR="00164619" w:rsidRPr="00910E08">
        <w:rPr>
          <w:sz w:val="24"/>
          <w:szCs w:val="24"/>
        </w:rPr>
        <w:t xml:space="preserve"> « Les arrêts de travail »)</w:t>
      </w:r>
      <w:r w:rsidR="00AD24EE" w:rsidRPr="00910E08">
        <w:rPr>
          <w:sz w:val="24"/>
          <w:szCs w:val="24"/>
        </w:rPr>
        <w:t xml:space="preserve"> et l’indemnité complémentaire est notamment élargie aux salariés placés en quarantaine, aux salariés contraints de garder leur enfant âgé de moins de 16 ans.     </w:t>
      </w:r>
    </w:p>
    <w:p w14:paraId="6EB7FB7A" w14:textId="77777777" w:rsidR="00766CA1" w:rsidRPr="00910E08" w:rsidRDefault="00766CA1" w:rsidP="00766CA1">
      <w:pPr>
        <w:jc w:val="both"/>
        <w:rPr>
          <w:sz w:val="24"/>
          <w:szCs w:val="24"/>
        </w:rPr>
      </w:pPr>
    </w:p>
    <w:p w14:paraId="518986D5" w14:textId="1A7C2562" w:rsidR="00551001" w:rsidRPr="00910E08" w:rsidRDefault="00725995" w:rsidP="00766CA1">
      <w:pPr>
        <w:pStyle w:val="Paragraphedeliste"/>
        <w:numPr>
          <w:ilvl w:val="0"/>
          <w:numId w:val="39"/>
        </w:numPr>
        <w:spacing w:after="0" w:line="240" w:lineRule="auto"/>
        <w:jc w:val="both"/>
        <w:rPr>
          <w:rFonts w:ascii="Arial" w:hAnsi="Arial" w:cs="Arial"/>
          <w:b/>
          <w:sz w:val="24"/>
          <w:szCs w:val="24"/>
        </w:rPr>
      </w:pPr>
      <w:r w:rsidRPr="00910E08">
        <w:rPr>
          <w:rFonts w:ascii="Arial" w:hAnsi="Arial" w:cs="Arial"/>
          <w:b/>
          <w:sz w:val="24"/>
          <w:szCs w:val="24"/>
        </w:rPr>
        <w:t>En matière d’</w:t>
      </w:r>
      <w:r w:rsidR="00551001" w:rsidRPr="00910E08">
        <w:rPr>
          <w:rFonts w:ascii="Arial" w:hAnsi="Arial" w:cs="Arial"/>
          <w:b/>
          <w:sz w:val="24"/>
          <w:szCs w:val="24"/>
        </w:rPr>
        <w:t xml:space="preserve">intéressement et de participation </w:t>
      </w:r>
    </w:p>
    <w:p w14:paraId="09CF7EC2" w14:textId="337494F8" w:rsidR="00551001" w:rsidRDefault="00551001" w:rsidP="00766CA1">
      <w:pPr>
        <w:jc w:val="both"/>
        <w:rPr>
          <w:sz w:val="24"/>
          <w:szCs w:val="24"/>
        </w:rPr>
      </w:pPr>
      <w:r w:rsidRPr="00910E08">
        <w:rPr>
          <w:sz w:val="24"/>
          <w:szCs w:val="24"/>
        </w:rPr>
        <w:t>A titre exceptionnel, il est prévu de modifier les dates limites et les modalités</w:t>
      </w:r>
      <w:r w:rsidR="00725995" w:rsidRPr="00910E08">
        <w:rPr>
          <w:sz w:val="24"/>
          <w:szCs w:val="24"/>
        </w:rPr>
        <w:t xml:space="preserve"> de versement des sommes dues au titre de l’intéressement et de la participation.</w:t>
      </w:r>
    </w:p>
    <w:p w14:paraId="1A83B2CE" w14:textId="77777777" w:rsidR="00766CA1" w:rsidRPr="00910E08" w:rsidRDefault="00766CA1" w:rsidP="00766CA1">
      <w:pPr>
        <w:jc w:val="both"/>
        <w:rPr>
          <w:sz w:val="24"/>
          <w:szCs w:val="24"/>
        </w:rPr>
      </w:pPr>
    </w:p>
    <w:p w14:paraId="3E764495" w14:textId="77777777" w:rsidR="00725995" w:rsidRPr="00910E08" w:rsidRDefault="00725995" w:rsidP="00766CA1">
      <w:pPr>
        <w:pStyle w:val="Paragraphedeliste"/>
        <w:numPr>
          <w:ilvl w:val="0"/>
          <w:numId w:val="39"/>
        </w:numPr>
        <w:spacing w:after="0" w:line="240" w:lineRule="auto"/>
        <w:jc w:val="both"/>
        <w:rPr>
          <w:rFonts w:ascii="Arial" w:hAnsi="Arial" w:cs="Arial"/>
          <w:b/>
          <w:sz w:val="24"/>
          <w:szCs w:val="24"/>
        </w:rPr>
      </w:pPr>
      <w:r w:rsidRPr="00910E08">
        <w:rPr>
          <w:rFonts w:ascii="Arial" w:hAnsi="Arial" w:cs="Arial"/>
          <w:b/>
          <w:sz w:val="24"/>
          <w:szCs w:val="24"/>
        </w:rPr>
        <w:t xml:space="preserve">A l’égard des instances représentatives du personnel </w:t>
      </w:r>
    </w:p>
    <w:p w14:paraId="3F17AA54" w14:textId="7F7A07AB" w:rsidR="00725995" w:rsidRDefault="00725995" w:rsidP="00766CA1">
      <w:pPr>
        <w:jc w:val="both"/>
        <w:rPr>
          <w:sz w:val="24"/>
          <w:szCs w:val="24"/>
        </w:rPr>
      </w:pPr>
      <w:r w:rsidRPr="00910E08">
        <w:rPr>
          <w:sz w:val="24"/>
          <w:szCs w:val="24"/>
        </w:rPr>
        <w:t xml:space="preserve">Seront modifiées les modalités d’information et de consultation </w:t>
      </w:r>
      <w:r w:rsidR="00AD24EE" w:rsidRPr="00910E08">
        <w:rPr>
          <w:sz w:val="24"/>
          <w:szCs w:val="24"/>
        </w:rPr>
        <w:t>du co</w:t>
      </w:r>
      <w:r w:rsidRPr="00910E08">
        <w:rPr>
          <w:sz w:val="24"/>
          <w:szCs w:val="24"/>
        </w:rPr>
        <w:t>mité social et économique</w:t>
      </w:r>
      <w:r w:rsidR="00164619" w:rsidRPr="00910E08">
        <w:rPr>
          <w:sz w:val="24"/>
          <w:szCs w:val="24"/>
        </w:rPr>
        <w:t xml:space="preserve"> (CSE</w:t>
      </w:r>
      <w:r w:rsidR="00AD24EE" w:rsidRPr="00910E08">
        <w:rPr>
          <w:sz w:val="24"/>
          <w:szCs w:val="24"/>
        </w:rPr>
        <w:t>),</w:t>
      </w:r>
      <w:r w:rsidRPr="00910E08">
        <w:rPr>
          <w:sz w:val="24"/>
          <w:szCs w:val="24"/>
        </w:rPr>
        <w:t xml:space="preserve"> pour l</w:t>
      </w:r>
      <w:r w:rsidR="00AD24EE" w:rsidRPr="00910E08">
        <w:rPr>
          <w:sz w:val="24"/>
          <w:szCs w:val="24"/>
        </w:rPr>
        <w:t>ui</w:t>
      </w:r>
      <w:r w:rsidRPr="00910E08">
        <w:rPr>
          <w:sz w:val="24"/>
          <w:szCs w:val="24"/>
        </w:rPr>
        <w:t xml:space="preserve"> permettre d’émettre les avis requis dans les délais impartis </w:t>
      </w:r>
      <w:r w:rsidR="006D1130" w:rsidRPr="00910E08">
        <w:rPr>
          <w:sz w:val="24"/>
          <w:szCs w:val="24"/>
        </w:rPr>
        <w:t>(en facilitant notamment le recours à la vis</w:t>
      </w:r>
      <w:r w:rsidR="00164619" w:rsidRPr="00910E08">
        <w:rPr>
          <w:sz w:val="24"/>
          <w:szCs w:val="24"/>
        </w:rPr>
        <w:t>io</w:t>
      </w:r>
      <w:r w:rsidR="003004F3" w:rsidRPr="00910E08">
        <w:rPr>
          <w:sz w:val="24"/>
          <w:szCs w:val="24"/>
        </w:rPr>
        <w:t>conférence)</w:t>
      </w:r>
      <w:r w:rsidR="006D1130" w:rsidRPr="00910E08">
        <w:rPr>
          <w:sz w:val="24"/>
          <w:szCs w:val="24"/>
        </w:rPr>
        <w:t xml:space="preserve"> </w:t>
      </w:r>
      <w:r w:rsidRPr="00910E08">
        <w:rPr>
          <w:sz w:val="24"/>
          <w:szCs w:val="24"/>
        </w:rPr>
        <w:t>et de suspendre les</w:t>
      </w:r>
      <w:r w:rsidR="00164619" w:rsidRPr="00910E08">
        <w:rPr>
          <w:sz w:val="24"/>
          <w:szCs w:val="24"/>
        </w:rPr>
        <w:t xml:space="preserve"> élections professionnelles qui sont </w:t>
      </w:r>
      <w:r w:rsidRPr="00910E08">
        <w:rPr>
          <w:sz w:val="24"/>
          <w:szCs w:val="24"/>
        </w:rPr>
        <w:t>en cours.</w:t>
      </w:r>
    </w:p>
    <w:p w14:paraId="07852063" w14:textId="77777777" w:rsidR="00766CA1" w:rsidRPr="00910E08" w:rsidRDefault="00766CA1" w:rsidP="00766CA1">
      <w:pPr>
        <w:jc w:val="both"/>
        <w:rPr>
          <w:sz w:val="24"/>
          <w:szCs w:val="24"/>
        </w:rPr>
      </w:pPr>
    </w:p>
    <w:p w14:paraId="18B7FA04" w14:textId="77777777" w:rsidR="00725995" w:rsidRPr="00910E08" w:rsidRDefault="00725995" w:rsidP="00766CA1">
      <w:pPr>
        <w:pStyle w:val="Paragraphedeliste"/>
        <w:numPr>
          <w:ilvl w:val="0"/>
          <w:numId w:val="39"/>
        </w:numPr>
        <w:spacing w:after="0" w:line="240" w:lineRule="auto"/>
        <w:jc w:val="both"/>
        <w:rPr>
          <w:rFonts w:ascii="Arial" w:hAnsi="Arial" w:cs="Arial"/>
          <w:b/>
          <w:sz w:val="24"/>
          <w:szCs w:val="24"/>
        </w:rPr>
      </w:pPr>
      <w:r w:rsidRPr="00910E08">
        <w:rPr>
          <w:rFonts w:ascii="Arial" w:hAnsi="Arial" w:cs="Arial"/>
          <w:b/>
          <w:sz w:val="24"/>
          <w:szCs w:val="24"/>
        </w:rPr>
        <w:t xml:space="preserve">En matière de santé au travail   </w:t>
      </w:r>
    </w:p>
    <w:p w14:paraId="73164DA3" w14:textId="12411971" w:rsidR="00BC3276" w:rsidRDefault="00725995" w:rsidP="00766CA1">
      <w:pPr>
        <w:jc w:val="both"/>
        <w:rPr>
          <w:sz w:val="24"/>
          <w:szCs w:val="24"/>
        </w:rPr>
      </w:pPr>
      <w:r w:rsidRPr="00910E08">
        <w:rPr>
          <w:sz w:val="24"/>
          <w:szCs w:val="24"/>
        </w:rPr>
        <w:t>Il convient d’aménager les modalités d’exercice par les services de santé au travail de leurs missions notamment en matière de suivi de l’état de santé des salariés et de définir les règles</w:t>
      </w:r>
      <w:r w:rsidR="006D1130" w:rsidRPr="00910E08">
        <w:rPr>
          <w:sz w:val="24"/>
          <w:szCs w:val="24"/>
        </w:rPr>
        <w:t xml:space="preserve"> selon lesquelles le suivi de l’état de santé est assurée pour les salariés qui n’ont pu, en raison de l’épidémie, </w:t>
      </w:r>
      <w:r w:rsidR="00164619" w:rsidRPr="00910E08">
        <w:rPr>
          <w:sz w:val="24"/>
          <w:szCs w:val="24"/>
        </w:rPr>
        <w:t xml:space="preserve">en bénéficier. </w:t>
      </w:r>
    </w:p>
    <w:p w14:paraId="6679CD2E" w14:textId="77777777" w:rsidR="00766CA1" w:rsidRPr="00910E08" w:rsidRDefault="00766CA1" w:rsidP="00766CA1">
      <w:pPr>
        <w:jc w:val="both"/>
        <w:rPr>
          <w:sz w:val="24"/>
          <w:szCs w:val="24"/>
        </w:rPr>
      </w:pPr>
    </w:p>
    <w:p w14:paraId="0296740E" w14:textId="7E86B10D" w:rsidR="00AD24EE" w:rsidRPr="00910E08" w:rsidRDefault="00AD24EE" w:rsidP="00766CA1">
      <w:pPr>
        <w:pStyle w:val="Paragraphedeliste"/>
        <w:numPr>
          <w:ilvl w:val="0"/>
          <w:numId w:val="39"/>
        </w:numPr>
        <w:spacing w:after="0" w:line="240" w:lineRule="auto"/>
        <w:jc w:val="both"/>
        <w:rPr>
          <w:rFonts w:ascii="Arial" w:eastAsia="Times New Roman" w:hAnsi="Arial" w:cs="Arial"/>
          <w:b/>
          <w:sz w:val="24"/>
          <w:szCs w:val="24"/>
        </w:rPr>
      </w:pPr>
      <w:r w:rsidRPr="00910E08">
        <w:rPr>
          <w:rFonts w:ascii="Arial" w:hAnsi="Arial" w:cs="Arial"/>
          <w:b/>
          <w:sz w:val="24"/>
          <w:szCs w:val="24"/>
        </w:rPr>
        <w:t xml:space="preserve">En matière de titres de travail </w:t>
      </w:r>
    </w:p>
    <w:p w14:paraId="2596232E" w14:textId="0EA66BC8" w:rsidR="00BC3276" w:rsidRPr="00910E08" w:rsidRDefault="00394E16" w:rsidP="00766CA1">
      <w:pPr>
        <w:jc w:val="both"/>
        <w:rPr>
          <w:rFonts w:eastAsia="Times New Roman"/>
          <w:sz w:val="24"/>
          <w:szCs w:val="24"/>
        </w:rPr>
      </w:pPr>
      <w:r w:rsidRPr="00910E08">
        <w:rPr>
          <w:rFonts w:eastAsia="Times New Roman"/>
          <w:sz w:val="24"/>
          <w:szCs w:val="24"/>
        </w:rPr>
        <w:t>Il est prévu notamment, que les</w:t>
      </w:r>
      <w:r w:rsidR="00AD24EE" w:rsidRPr="00910E08">
        <w:rPr>
          <w:rFonts w:eastAsia="Times New Roman"/>
          <w:sz w:val="24"/>
          <w:szCs w:val="24"/>
        </w:rPr>
        <w:t xml:space="preserve"> titres de séjour, les autorisations provisoires de </w:t>
      </w:r>
      <w:r w:rsidRPr="00910E08">
        <w:rPr>
          <w:rFonts w:eastAsia="Times New Roman"/>
          <w:sz w:val="24"/>
          <w:szCs w:val="24"/>
        </w:rPr>
        <w:t xml:space="preserve">séjour </w:t>
      </w:r>
      <w:r w:rsidR="005C2C2F" w:rsidRPr="00910E08">
        <w:rPr>
          <w:rFonts w:eastAsia="Times New Roman"/>
          <w:sz w:val="24"/>
          <w:szCs w:val="24"/>
        </w:rPr>
        <w:t>et les</w:t>
      </w:r>
      <w:r w:rsidR="00AD24EE" w:rsidRPr="00910E08">
        <w:rPr>
          <w:rFonts w:eastAsia="Times New Roman"/>
          <w:sz w:val="24"/>
          <w:szCs w:val="24"/>
        </w:rPr>
        <w:t xml:space="preserve"> récépissés de demande</w:t>
      </w:r>
      <w:r w:rsidRPr="00910E08">
        <w:rPr>
          <w:rFonts w:eastAsia="Times New Roman"/>
          <w:sz w:val="24"/>
          <w:szCs w:val="24"/>
        </w:rPr>
        <w:t>s</w:t>
      </w:r>
      <w:r w:rsidR="00AD24EE" w:rsidRPr="00910E08">
        <w:rPr>
          <w:rFonts w:eastAsia="Times New Roman"/>
          <w:sz w:val="24"/>
          <w:szCs w:val="24"/>
        </w:rPr>
        <w:t xml:space="preserve"> de titre de séjour qui ont expiré ou vont expirer entre le 16 mars 2020 et le </w:t>
      </w:r>
      <w:r w:rsidRPr="00910E08">
        <w:rPr>
          <w:rFonts w:eastAsia="Times New Roman"/>
          <w:sz w:val="24"/>
          <w:szCs w:val="24"/>
        </w:rPr>
        <w:t>15 mai 2020 sont prolongés et ce, dans la limite de 180 jours.</w:t>
      </w:r>
    </w:p>
    <w:p w14:paraId="0293D064" w14:textId="332960AD" w:rsidR="00394E16" w:rsidRPr="00910E08" w:rsidRDefault="00394E16" w:rsidP="00766CA1">
      <w:pPr>
        <w:jc w:val="both"/>
        <w:rPr>
          <w:rFonts w:eastAsia="Times New Roman"/>
          <w:sz w:val="24"/>
          <w:szCs w:val="24"/>
        </w:rPr>
      </w:pPr>
    </w:p>
    <w:p w14:paraId="556E9095" w14:textId="77777777" w:rsidR="00394E16" w:rsidRPr="00910E08" w:rsidRDefault="00394E16" w:rsidP="00766CA1">
      <w:pPr>
        <w:jc w:val="both"/>
        <w:rPr>
          <w:rFonts w:eastAsia="Times New Roman"/>
          <w:b/>
          <w:sz w:val="24"/>
          <w:szCs w:val="24"/>
        </w:rPr>
      </w:pPr>
    </w:p>
    <w:p w14:paraId="03ADEF64" w14:textId="4A5D7C32" w:rsidR="00A62CAB" w:rsidRPr="00910E08" w:rsidRDefault="00DC5BA3" w:rsidP="00766CA1">
      <w:pPr>
        <w:jc w:val="both"/>
        <w:rPr>
          <w:sz w:val="24"/>
          <w:szCs w:val="24"/>
        </w:rPr>
      </w:pPr>
      <w:r w:rsidRPr="00910E08">
        <w:rPr>
          <w:sz w:val="24"/>
          <w:szCs w:val="24"/>
        </w:rPr>
        <w:t>Con</w:t>
      </w:r>
      <w:r w:rsidR="003C3318" w:rsidRPr="00910E08">
        <w:rPr>
          <w:sz w:val="24"/>
          <w:szCs w:val="24"/>
        </w:rPr>
        <w:t xml:space="preserve">tact : Conseil en droit social : </w:t>
      </w:r>
      <w:r w:rsidR="00BC3276" w:rsidRPr="00910E08">
        <w:rPr>
          <w:sz w:val="24"/>
          <w:szCs w:val="24"/>
        </w:rPr>
        <w:t>Valérie GUILLOTIN</w:t>
      </w:r>
      <w:r w:rsidR="003C3318" w:rsidRPr="00910E08">
        <w:rPr>
          <w:sz w:val="24"/>
          <w:szCs w:val="24"/>
        </w:rPr>
        <w:t xml:space="preserve"> </w:t>
      </w:r>
      <w:r w:rsidR="00C97F6E" w:rsidRPr="00910E08">
        <w:rPr>
          <w:sz w:val="24"/>
          <w:szCs w:val="24"/>
        </w:rPr>
        <w:t>0</w:t>
      </w:r>
      <w:r w:rsidR="00BC3276" w:rsidRPr="00910E08">
        <w:rPr>
          <w:sz w:val="24"/>
          <w:szCs w:val="24"/>
        </w:rPr>
        <w:t>6</w:t>
      </w:r>
      <w:r w:rsidR="00C97F6E" w:rsidRPr="00910E08">
        <w:rPr>
          <w:sz w:val="24"/>
          <w:szCs w:val="24"/>
        </w:rPr>
        <w:t xml:space="preserve"> </w:t>
      </w:r>
      <w:r w:rsidR="00BC3276" w:rsidRPr="00910E08">
        <w:rPr>
          <w:sz w:val="24"/>
          <w:szCs w:val="24"/>
        </w:rPr>
        <w:t>78 00 49 86</w:t>
      </w:r>
      <w:r w:rsidR="00C97F6E" w:rsidRPr="00910E08">
        <w:rPr>
          <w:sz w:val="24"/>
          <w:szCs w:val="24"/>
        </w:rPr>
        <w:t xml:space="preserve"> - </w:t>
      </w:r>
      <w:r w:rsidRPr="00910E08">
        <w:rPr>
          <w:sz w:val="24"/>
          <w:szCs w:val="24"/>
        </w:rPr>
        <w:t>01 40 55 11 10</w:t>
      </w:r>
    </w:p>
    <w:sectPr w:rsidR="00A62CAB" w:rsidRPr="00910E08" w:rsidSect="00C37B91">
      <w:headerReference w:type="default" r:id="rId8"/>
      <w:footerReference w:type="default" r:id="rId9"/>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77061" w14:textId="77777777" w:rsidR="005D2810" w:rsidRDefault="005D2810" w:rsidP="00CC200B">
      <w:r>
        <w:separator/>
      </w:r>
    </w:p>
  </w:endnote>
  <w:endnote w:type="continuationSeparator" w:id="0">
    <w:p w14:paraId="65778E70" w14:textId="77777777" w:rsidR="005D2810" w:rsidRDefault="005D2810" w:rsidP="00C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ADA2" w14:textId="05EBD250" w:rsidR="00C37B91" w:rsidRPr="003552EF" w:rsidRDefault="00C37B91" w:rsidP="00C37B91">
    <w:pPr>
      <w:pStyle w:val="Pieddepage"/>
      <w:jc w:val="right"/>
    </w:pPr>
    <w:r w:rsidRPr="003552EF">
      <w:rPr>
        <w:bCs/>
      </w:rPr>
      <w:fldChar w:fldCharType="begin"/>
    </w:r>
    <w:r w:rsidRPr="003552EF">
      <w:rPr>
        <w:bCs/>
      </w:rPr>
      <w:instrText>PAGE</w:instrText>
    </w:r>
    <w:r w:rsidRPr="003552EF">
      <w:rPr>
        <w:bCs/>
      </w:rPr>
      <w:fldChar w:fldCharType="separate"/>
    </w:r>
    <w:r w:rsidR="00DE0526">
      <w:rPr>
        <w:bCs/>
        <w:noProof/>
      </w:rPr>
      <w:t>1</w:t>
    </w:r>
    <w:r w:rsidRPr="003552EF">
      <w:rPr>
        <w:bCs/>
      </w:rPr>
      <w:fldChar w:fldCharType="end"/>
    </w:r>
    <w:r w:rsidRPr="003552EF">
      <w:t xml:space="preserve"> / </w:t>
    </w:r>
    <w:r w:rsidRPr="003552EF">
      <w:rPr>
        <w:bCs/>
      </w:rPr>
      <w:fldChar w:fldCharType="begin"/>
    </w:r>
    <w:r w:rsidRPr="003552EF">
      <w:rPr>
        <w:bCs/>
      </w:rPr>
      <w:instrText>NUMPAGES</w:instrText>
    </w:r>
    <w:r w:rsidRPr="003552EF">
      <w:rPr>
        <w:bCs/>
      </w:rPr>
      <w:fldChar w:fldCharType="separate"/>
    </w:r>
    <w:r w:rsidR="00DE0526">
      <w:rPr>
        <w:bCs/>
        <w:noProof/>
      </w:rPr>
      <w:t>2</w:t>
    </w:r>
    <w:r w:rsidRPr="003552EF">
      <w:rPr>
        <w:bCs/>
      </w:rPr>
      <w:fldChar w:fldCharType="end"/>
    </w:r>
  </w:p>
  <w:p w14:paraId="1E62FC64" w14:textId="77777777" w:rsidR="00C37B91" w:rsidRPr="00A73F47" w:rsidRDefault="00C37B91" w:rsidP="00C37B91">
    <w:pPr>
      <w:rPr>
        <w:b/>
        <w:bCs/>
        <w:color w:val="7F7F7F"/>
        <w:sz w:val="16"/>
        <w:szCs w:val="16"/>
      </w:rPr>
    </w:pPr>
    <w:r w:rsidRPr="00A73F47">
      <w:rPr>
        <w:b/>
        <w:bCs/>
        <w:color w:val="7F7F7F"/>
        <w:sz w:val="16"/>
        <w:szCs w:val="16"/>
      </w:rPr>
      <w:t>FFB GRAND PARIS</w:t>
    </w:r>
  </w:p>
  <w:p w14:paraId="56794851" w14:textId="77777777" w:rsidR="00C37B91" w:rsidRPr="00A73F47" w:rsidRDefault="00C37B91" w:rsidP="00C37B91">
    <w:pPr>
      <w:rPr>
        <w:b/>
        <w:bCs/>
        <w:color w:val="7F7F7F"/>
        <w:sz w:val="16"/>
        <w:szCs w:val="16"/>
      </w:rPr>
    </w:pPr>
    <w:r w:rsidRPr="00A73F47">
      <w:rPr>
        <w:b/>
        <w:bCs/>
        <w:color w:val="7F7F7F"/>
        <w:sz w:val="16"/>
        <w:szCs w:val="16"/>
      </w:rPr>
      <w:t xml:space="preserve">Direction des Affaires </w:t>
    </w:r>
    <w:r w:rsidR="00932040">
      <w:rPr>
        <w:b/>
        <w:bCs/>
        <w:color w:val="7F7F7F"/>
        <w:sz w:val="16"/>
        <w:szCs w:val="16"/>
      </w:rPr>
      <w:t>Sociales</w:t>
    </w:r>
  </w:p>
  <w:p w14:paraId="05D829EA" w14:textId="77777777" w:rsidR="00C37B91" w:rsidRPr="00A73F47" w:rsidRDefault="00C37B91" w:rsidP="00C37B91">
    <w:pPr>
      <w:rPr>
        <w:b/>
        <w:bCs/>
        <w:color w:val="7F7F7F"/>
        <w:sz w:val="16"/>
        <w:szCs w:val="16"/>
      </w:rPr>
    </w:pPr>
    <w:r w:rsidRPr="00A73F47">
      <w:rPr>
        <w:b/>
        <w:bCs/>
        <w:color w:val="7F7F7F"/>
        <w:sz w:val="16"/>
        <w:szCs w:val="16"/>
      </w:rPr>
      <w:t>10 rue du Débarcadère - 75852 PARIS Cedex 17</w:t>
    </w:r>
  </w:p>
  <w:p w14:paraId="50CCAB5B" w14:textId="77777777" w:rsidR="00C37B91" w:rsidRPr="00A73F47" w:rsidRDefault="00932040" w:rsidP="00C37B91">
    <w:pPr>
      <w:rPr>
        <w:b/>
        <w:bCs/>
        <w:color w:val="7F7F7F"/>
        <w:sz w:val="16"/>
        <w:szCs w:val="16"/>
      </w:rPr>
    </w:pPr>
    <w:r>
      <w:rPr>
        <w:b/>
        <w:bCs/>
        <w:color w:val="7F7F7F"/>
        <w:sz w:val="16"/>
        <w:szCs w:val="16"/>
      </w:rPr>
      <w:t>Téléphone 01 40 55 11 10</w:t>
    </w:r>
  </w:p>
  <w:p w14:paraId="56D6A87C" w14:textId="77777777" w:rsidR="00C37B91" w:rsidRPr="00A73F47" w:rsidRDefault="00DE0526" w:rsidP="00C37B91">
    <w:pPr>
      <w:rPr>
        <w:bCs/>
        <w:color w:val="7F7F7F"/>
        <w:sz w:val="16"/>
        <w:szCs w:val="16"/>
      </w:rPr>
    </w:pPr>
    <w:hyperlink r:id="rId1" w:history="1">
      <w:r w:rsidR="00C37B91" w:rsidRPr="00A73F47">
        <w:rPr>
          <w:rStyle w:val="Lienhypertexte"/>
          <w:color w:val="7F7F7F"/>
          <w:sz w:val="16"/>
          <w:szCs w:val="16"/>
        </w:rPr>
        <w:t>www.grandparis.ffbatiment.fr</w:t>
      </w:r>
    </w:hyperlink>
  </w:p>
  <w:p w14:paraId="040A8281" w14:textId="77777777" w:rsidR="00C37B91" w:rsidRPr="00A73F47" w:rsidRDefault="00C37B91" w:rsidP="00C37B91">
    <w:pPr>
      <w:rPr>
        <w:b/>
        <w:bCs/>
        <w:color w:val="7F7F7F"/>
        <w:sz w:val="16"/>
        <w:szCs w:val="16"/>
      </w:rPr>
    </w:pPr>
    <w:r w:rsidRPr="00A73F47">
      <w:rPr>
        <w:b/>
        <w:bCs/>
        <w:color w:val="7F7F7F"/>
        <w:sz w:val="16"/>
        <w:szCs w:val="16"/>
      </w:rPr>
      <w:t>siret : 784 718 033 00011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128D" w14:textId="77777777" w:rsidR="005D2810" w:rsidRDefault="005D2810" w:rsidP="00CC200B">
      <w:r>
        <w:separator/>
      </w:r>
    </w:p>
  </w:footnote>
  <w:footnote w:type="continuationSeparator" w:id="0">
    <w:p w14:paraId="46AEF432" w14:textId="77777777" w:rsidR="005D2810" w:rsidRDefault="005D2810" w:rsidP="00CC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DEE9" w14:textId="77777777" w:rsidR="00CC200B" w:rsidRPr="00FB7677" w:rsidRDefault="005D1625" w:rsidP="00B0672B">
    <w:pPr>
      <w:pStyle w:val="En-tte"/>
      <w:tabs>
        <w:tab w:val="clear" w:pos="4536"/>
        <w:tab w:val="clear" w:pos="9072"/>
      </w:tabs>
      <w:rPr>
        <w:sz w:val="24"/>
        <w:szCs w:val="24"/>
      </w:rPr>
    </w:pPr>
    <w:r w:rsidRPr="00FB7677">
      <w:rPr>
        <w:b/>
        <w:bCs/>
        <w:noProof/>
        <w:color w:val="003399"/>
        <w:sz w:val="24"/>
        <w:szCs w:val="24"/>
        <w:lang w:eastAsia="fr-FR"/>
      </w:rPr>
      <mc:AlternateContent>
        <mc:Choice Requires="wps">
          <w:drawing>
            <wp:anchor distT="0" distB="0" distL="114300" distR="114300" simplePos="0" relativeHeight="251659264" behindDoc="0" locked="0" layoutInCell="1" allowOverlap="1" wp14:anchorId="37907577" wp14:editId="3BF71938">
              <wp:simplePos x="0" y="0"/>
              <wp:positionH relativeFrom="margin">
                <wp:posOffset>490220</wp:posOffset>
              </wp:positionH>
              <wp:positionV relativeFrom="paragraph">
                <wp:posOffset>502286</wp:posOffset>
              </wp:positionV>
              <wp:extent cx="4800600" cy="19050"/>
              <wp:effectExtent l="19050" t="19050" r="19050" b="19050"/>
              <wp:wrapNone/>
              <wp:docPr id="2" name="Connecteur droit 2"/>
              <wp:cNvGraphicFramePr/>
              <a:graphic xmlns:a="http://schemas.openxmlformats.org/drawingml/2006/main">
                <a:graphicData uri="http://schemas.microsoft.com/office/word/2010/wordprocessingShape">
                  <wps:wsp>
                    <wps:cNvCnPr/>
                    <wps:spPr>
                      <a:xfrm flipV="1">
                        <a:off x="0" y="0"/>
                        <a:ext cx="4800600" cy="19050"/>
                      </a:xfrm>
                      <a:prstGeom prst="line">
                        <a:avLst/>
                      </a:prstGeom>
                      <a:ln w="28575">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5412C39E"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pt,39.55pt" to="416.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" strokecolor="#039" strokeweight="2.25pt">
              <w10:wrap anchorx="margin"/>
            </v:line>
          </w:pict>
        </mc:Fallback>
      </mc:AlternateContent>
    </w:r>
    <w:r w:rsidRPr="00FB7677">
      <w:rPr>
        <w:noProof/>
        <w:color w:val="003399"/>
        <w:sz w:val="24"/>
        <w:szCs w:val="24"/>
        <w:lang w:eastAsia="fr-FR"/>
      </w:rPr>
      <w:drawing>
        <wp:anchor distT="0" distB="0" distL="114300" distR="114300" simplePos="0" relativeHeight="251658240" behindDoc="0" locked="0" layoutInCell="1" allowOverlap="1" wp14:anchorId="118F3BA9" wp14:editId="3EF06C5B">
          <wp:simplePos x="0" y="0"/>
          <wp:positionH relativeFrom="margin">
            <wp:posOffset>409575</wp:posOffset>
          </wp:positionH>
          <wp:positionV relativeFrom="paragraph">
            <wp:posOffset>-382270</wp:posOffset>
          </wp:positionV>
          <wp:extent cx="4939665" cy="84645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10DB47"/>
    <w:multiLevelType w:val="hybridMultilevel"/>
    <w:tmpl w:val="5B80C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B1142"/>
    <w:multiLevelType w:val="hybridMultilevel"/>
    <w:tmpl w:val="F544D10E"/>
    <w:lvl w:ilvl="0" w:tplc="00FADE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52D65"/>
    <w:multiLevelType w:val="hybridMultilevel"/>
    <w:tmpl w:val="8C507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246757"/>
    <w:multiLevelType w:val="hybridMultilevel"/>
    <w:tmpl w:val="8B0E1F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5B16D4"/>
    <w:multiLevelType w:val="hybridMultilevel"/>
    <w:tmpl w:val="2780A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204A78"/>
    <w:multiLevelType w:val="hybridMultilevel"/>
    <w:tmpl w:val="4703DF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173EB0"/>
    <w:multiLevelType w:val="multilevel"/>
    <w:tmpl w:val="FF0AD9FE"/>
    <w:lvl w:ilvl="0">
      <w:start w:val="1"/>
      <w:numFmt w:val="decimal"/>
      <w:lvlText w:val="%1."/>
      <w:lvlJc w:val="left"/>
      <w:pPr>
        <w:ind w:left="720" w:hanging="360"/>
      </w:pPr>
      <w:rPr>
        <w:rFonts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784BCB"/>
    <w:multiLevelType w:val="hybridMultilevel"/>
    <w:tmpl w:val="56AA1BB2"/>
    <w:lvl w:ilvl="0" w:tplc="37F64D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8A1006"/>
    <w:multiLevelType w:val="hybridMultilevel"/>
    <w:tmpl w:val="A6BAB6E4"/>
    <w:lvl w:ilvl="0" w:tplc="CA78EB0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C05D6"/>
    <w:multiLevelType w:val="hybridMultilevel"/>
    <w:tmpl w:val="27707758"/>
    <w:lvl w:ilvl="0" w:tplc="C24EB486">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0">
    <w:nsid w:val="1C8D79BD"/>
    <w:multiLevelType w:val="hybridMultilevel"/>
    <w:tmpl w:val="285A6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390266"/>
    <w:multiLevelType w:val="hybridMultilevel"/>
    <w:tmpl w:val="FA623572"/>
    <w:lvl w:ilvl="0" w:tplc="6AE0B2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44377A"/>
    <w:multiLevelType w:val="hybridMultilevel"/>
    <w:tmpl w:val="17626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B57ACC"/>
    <w:multiLevelType w:val="hybridMultilevel"/>
    <w:tmpl w:val="C5562122"/>
    <w:lvl w:ilvl="0" w:tplc="FFDA0A26">
      <w:numFmt w:val="bullet"/>
      <w:lvlText w:val=""/>
      <w:lvlJc w:val="left"/>
      <w:pPr>
        <w:ind w:left="1065" w:hanging="360"/>
      </w:pPr>
      <w:rPr>
        <w:rFonts w:ascii="Wingdings" w:eastAsiaTheme="minorHAns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2EDB439E"/>
    <w:multiLevelType w:val="hybridMultilevel"/>
    <w:tmpl w:val="54E68BC4"/>
    <w:lvl w:ilvl="0" w:tplc="71F2F0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8B4DC5"/>
    <w:multiLevelType w:val="hybridMultilevel"/>
    <w:tmpl w:val="8B6C20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20777E2"/>
    <w:multiLevelType w:val="hybridMultilevel"/>
    <w:tmpl w:val="D9564E12"/>
    <w:lvl w:ilvl="0" w:tplc="1B2E2C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B09C8"/>
    <w:multiLevelType w:val="hybridMultilevel"/>
    <w:tmpl w:val="F5B27864"/>
    <w:lvl w:ilvl="0" w:tplc="A170F5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F22F2F"/>
    <w:multiLevelType w:val="hybridMultilevel"/>
    <w:tmpl w:val="6B981D46"/>
    <w:lvl w:ilvl="0" w:tplc="A3046EE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36602E"/>
    <w:multiLevelType w:val="hybridMultilevel"/>
    <w:tmpl w:val="1820E3B8"/>
    <w:lvl w:ilvl="0" w:tplc="1090E38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C448A"/>
    <w:multiLevelType w:val="hybridMultilevel"/>
    <w:tmpl w:val="3C503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9147EE"/>
    <w:multiLevelType w:val="hybridMultilevel"/>
    <w:tmpl w:val="4D8EC482"/>
    <w:lvl w:ilvl="0" w:tplc="6F28CA4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E65ADA"/>
    <w:multiLevelType w:val="hybridMultilevel"/>
    <w:tmpl w:val="56C08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835B8B"/>
    <w:multiLevelType w:val="hybridMultilevel"/>
    <w:tmpl w:val="DC02D02E"/>
    <w:lvl w:ilvl="0" w:tplc="17DA6E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A81983"/>
    <w:multiLevelType w:val="hybridMultilevel"/>
    <w:tmpl w:val="39363168"/>
    <w:lvl w:ilvl="0" w:tplc="E4EE42CC">
      <w:numFmt w:val="bullet"/>
      <w:lvlText w:val=""/>
      <w:lvlJc w:val="left"/>
      <w:pPr>
        <w:ind w:left="1065" w:hanging="360"/>
      </w:pPr>
      <w:rPr>
        <w:rFonts w:ascii="Wingdings" w:eastAsiaTheme="minorHAnsi" w:hAnsi="Wingdings" w:cs="Arial" w:hint="default"/>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5C283123"/>
    <w:multiLevelType w:val="hybridMultilevel"/>
    <w:tmpl w:val="3064D23C"/>
    <w:lvl w:ilvl="0" w:tplc="301AC7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CB2650"/>
    <w:multiLevelType w:val="hybridMultilevel"/>
    <w:tmpl w:val="F56E378E"/>
    <w:lvl w:ilvl="0" w:tplc="4A18D4CA">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3DE04B5"/>
    <w:multiLevelType w:val="hybridMultilevel"/>
    <w:tmpl w:val="7D0472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nsid w:val="66470941"/>
    <w:multiLevelType w:val="hybridMultilevel"/>
    <w:tmpl w:val="6022861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A6F6451"/>
    <w:multiLevelType w:val="hybridMultilevel"/>
    <w:tmpl w:val="FC12FD80"/>
    <w:lvl w:ilvl="0" w:tplc="9F7A7C66">
      <w:numFmt w:val="bullet"/>
      <w:lvlText w:val="-"/>
      <w:lvlJc w:val="left"/>
      <w:pPr>
        <w:ind w:left="1065" w:hanging="360"/>
      </w:pPr>
      <w:rPr>
        <w:rFonts w:ascii="Arial" w:eastAsiaTheme="minorHAns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nsid w:val="6C03052A"/>
    <w:multiLevelType w:val="hybridMultilevel"/>
    <w:tmpl w:val="92AAF4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EDA65F0"/>
    <w:multiLevelType w:val="hybridMultilevel"/>
    <w:tmpl w:val="0B38C5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10760D7"/>
    <w:multiLevelType w:val="hybridMultilevel"/>
    <w:tmpl w:val="409C2E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4132D1"/>
    <w:multiLevelType w:val="hybridMultilevel"/>
    <w:tmpl w:val="6B66A04C"/>
    <w:lvl w:ilvl="0" w:tplc="3DB8420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5354BD"/>
    <w:multiLevelType w:val="hybridMultilevel"/>
    <w:tmpl w:val="41328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4A55BF"/>
    <w:multiLevelType w:val="hybridMultilevel"/>
    <w:tmpl w:val="8E725804"/>
    <w:lvl w:ilvl="0" w:tplc="B5FACC7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7455707"/>
    <w:multiLevelType w:val="hybridMultilevel"/>
    <w:tmpl w:val="F97E0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505221"/>
    <w:multiLevelType w:val="hybridMultilevel"/>
    <w:tmpl w:val="F0DE15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EA25B71"/>
    <w:multiLevelType w:val="hybridMultilevel"/>
    <w:tmpl w:val="7BA03DFC"/>
    <w:lvl w:ilvl="0" w:tplc="96CEFDE8">
      <w:start w:val="1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6"/>
  </w:num>
  <w:num w:numId="4">
    <w:abstractNumId w:val="28"/>
  </w:num>
  <w:num w:numId="5">
    <w:abstractNumId w:val="31"/>
  </w:num>
  <w:num w:numId="6">
    <w:abstractNumId w:val="18"/>
  </w:num>
  <w:num w:numId="7">
    <w:abstractNumId w:val="34"/>
  </w:num>
  <w:num w:numId="8">
    <w:abstractNumId w:val="11"/>
  </w:num>
  <w:num w:numId="9">
    <w:abstractNumId w:val="20"/>
  </w:num>
  <w:num w:numId="10">
    <w:abstractNumId w:val="10"/>
  </w:num>
  <w:num w:numId="11">
    <w:abstractNumId w:val="4"/>
  </w:num>
  <w:num w:numId="12">
    <w:abstractNumId w:val="32"/>
  </w:num>
  <w:num w:numId="13">
    <w:abstractNumId w:val="27"/>
  </w:num>
  <w:num w:numId="14">
    <w:abstractNumId w:val="17"/>
  </w:num>
  <w:num w:numId="15">
    <w:abstractNumId w:val="0"/>
  </w:num>
  <w:num w:numId="16">
    <w:abstractNumId w:val="33"/>
  </w:num>
  <w:num w:numId="17">
    <w:abstractNumId w:val="5"/>
  </w:num>
  <w:num w:numId="18">
    <w:abstractNumId w:val="35"/>
  </w:num>
  <w:num w:numId="19">
    <w:abstractNumId w:val="38"/>
  </w:num>
  <w:num w:numId="20">
    <w:abstractNumId w:val="14"/>
  </w:num>
  <w:num w:numId="21">
    <w:abstractNumId w:val="26"/>
  </w:num>
  <w:num w:numId="22">
    <w:abstractNumId w:val="23"/>
  </w:num>
  <w:num w:numId="23">
    <w:abstractNumId w:val="16"/>
  </w:num>
  <w:num w:numId="24">
    <w:abstractNumId w:val="19"/>
  </w:num>
  <w:num w:numId="25">
    <w:abstractNumId w:val="1"/>
  </w:num>
  <w:num w:numId="26">
    <w:abstractNumId w:val="29"/>
  </w:num>
  <w:num w:numId="27">
    <w:abstractNumId w:val="8"/>
  </w:num>
  <w:num w:numId="28">
    <w:abstractNumId w:val="7"/>
  </w:num>
  <w:num w:numId="29">
    <w:abstractNumId w:val="3"/>
  </w:num>
  <w:num w:numId="30">
    <w:abstractNumId w:val="37"/>
  </w:num>
  <w:num w:numId="31">
    <w:abstractNumId w:val="30"/>
  </w:num>
  <w:num w:numId="32">
    <w:abstractNumId w:val="15"/>
  </w:num>
  <w:num w:numId="33">
    <w:abstractNumId w:val="21"/>
  </w:num>
  <w:num w:numId="34">
    <w:abstractNumId w:val="22"/>
  </w:num>
  <w:num w:numId="35">
    <w:abstractNumId w:val="12"/>
  </w:num>
  <w:num w:numId="36">
    <w:abstractNumId w:val="13"/>
  </w:num>
  <w:num w:numId="37">
    <w:abstractNumId w:val="24"/>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B"/>
    <w:rsid w:val="00000A06"/>
    <w:rsid w:val="00002946"/>
    <w:rsid w:val="0000469F"/>
    <w:rsid w:val="00065CBA"/>
    <w:rsid w:val="00067B68"/>
    <w:rsid w:val="000721E2"/>
    <w:rsid w:val="0009069D"/>
    <w:rsid w:val="00090E42"/>
    <w:rsid w:val="000A10ED"/>
    <w:rsid w:val="000A147C"/>
    <w:rsid w:val="000A20E1"/>
    <w:rsid w:val="000B7E62"/>
    <w:rsid w:val="000C0299"/>
    <w:rsid w:val="000D173A"/>
    <w:rsid w:val="001030D9"/>
    <w:rsid w:val="00106A61"/>
    <w:rsid w:val="001167E1"/>
    <w:rsid w:val="0012173A"/>
    <w:rsid w:val="001317D5"/>
    <w:rsid w:val="00145BE2"/>
    <w:rsid w:val="0015599B"/>
    <w:rsid w:val="00164619"/>
    <w:rsid w:val="001805BC"/>
    <w:rsid w:val="00190790"/>
    <w:rsid w:val="00195F2E"/>
    <w:rsid w:val="001B54C0"/>
    <w:rsid w:val="001D350E"/>
    <w:rsid w:val="001F3886"/>
    <w:rsid w:val="001F670F"/>
    <w:rsid w:val="0022403D"/>
    <w:rsid w:val="00225BA4"/>
    <w:rsid w:val="00231843"/>
    <w:rsid w:val="002513D4"/>
    <w:rsid w:val="00262C0C"/>
    <w:rsid w:val="0027748D"/>
    <w:rsid w:val="002863A8"/>
    <w:rsid w:val="002A1A4E"/>
    <w:rsid w:val="002A52B9"/>
    <w:rsid w:val="002A6365"/>
    <w:rsid w:val="002B4B48"/>
    <w:rsid w:val="002B5040"/>
    <w:rsid w:val="002D4C83"/>
    <w:rsid w:val="003004F3"/>
    <w:rsid w:val="00312A87"/>
    <w:rsid w:val="0031462D"/>
    <w:rsid w:val="00325A9F"/>
    <w:rsid w:val="00337265"/>
    <w:rsid w:val="003476C4"/>
    <w:rsid w:val="00356992"/>
    <w:rsid w:val="003618BE"/>
    <w:rsid w:val="00361B4E"/>
    <w:rsid w:val="00394B73"/>
    <w:rsid w:val="00394E16"/>
    <w:rsid w:val="003A134F"/>
    <w:rsid w:val="003B0F91"/>
    <w:rsid w:val="003B7B38"/>
    <w:rsid w:val="003C3318"/>
    <w:rsid w:val="00400F68"/>
    <w:rsid w:val="004019C6"/>
    <w:rsid w:val="0040708B"/>
    <w:rsid w:val="004160CC"/>
    <w:rsid w:val="00421C65"/>
    <w:rsid w:val="004220D0"/>
    <w:rsid w:val="00454B12"/>
    <w:rsid w:val="00471511"/>
    <w:rsid w:val="004725E2"/>
    <w:rsid w:val="004772A5"/>
    <w:rsid w:val="004845E4"/>
    <w:rsid w:val="004A41B9"/>
    <w:rsid w:val="004B7399"/>
    <w:rsid w:val="004C01AB"/>
    <w:rsid w:val="004C3532"/>
    <w:rsid w:val="004D4C21"/>
    <w:rsid w:val="004F1674"/>
    <w:rsid w:val="004F6610"/>
    <w:rsid w:val="0052157F"/>
    <w:rsid w:val="005219F8"/>
    <w:rsid w:val="00521A04"/>
    <w:rsid w:val="005220FB"/>
    <w:rsid w:val="00524B61"/>
    <w:rsid w:val="00527591"/>
    <w:rsid w:val="00534FA8"/>
    <w:rsid w:val="00536423"/>
    <w:rsid w:val="00542B84"/>
    <w:rsid w:val="00551001"/>
    <w:rsid w:val="00557F7B"/>
    <w:rsid w:val="005735AA"/>
    <w:rsid w:val="00576681"/>
    <w:rsid w:val="00577885"/>
    <w:rsid w:val="005958EE"/>
    <w:rsid w:val="005C228D"/>
    <w:rsid w:val="005C2C2F"/>
    <w:rsid w:val="005C3892"/>
    <w:rsid w:val="005D1625"/>
    <w:rsid w:val="005D2810"/>
    <w:rsid w:val="0060519B"/>
    <w:rsid w:val="00613EE3"/>
    <w:rsid w:val="006434FE"/>
    <w:rsid w:val="00643930"/>
    <w:rsid w:val="0067063E"/>
    <w:rsid w:val="00683EC1"/>
    <w:rsid w:val="006A323A"/>
    <w:rsid w:val="006B7CEC"/>
    <w:rsid w:val="006C3B10"/>
    <w:rsid w:val="006D1130"/>
    <w:rsid w:val="006D2537"/>
    <w:rsid w:val="006D37E6"/>
    <w:rsid w:val="006D7517"/>
    <w:rsid w:val="006F7923"/>
    <w:rsid w:val="00703716"/>
    <w:rsid w:val="007071F5"/>
    <w:rsid w:val="00713812"/>
    <w:rsid w:val="0071431A"/>
    <w:rsid w:val="00715B3C"/>
    <w:rsid w:val="00717D5D"/>
    <w:rsid w:val="007210E2"/>
    <w:rsid w:val="00721737"/>
    <w:rsid w:val="007232C7"/>
    <w:rsid w:val="00725995"/>
    <w:rsid w:val="00754953"/>
    <w:rsid w:val="007660E4"/>
    <w:rsid w:val="00766CA1"/>
    <w:rsid w:val="00780632"/>
    <w:rsid w:val="00783B8B"/>
    <w:rsid w:val="00785F23"/>
    <w:rsid w:val="007A5536"/>
    <w:rsid w:val="007B19D2"/>
    <w:rsid w:val="007E4841"/>
    <w:rsid w:val="007F34F5"/>
    <w:rsid w:val="007F4BA0"/>
    <w:rsid w:val="007F5450"/>
    <w:rsid w:val="008112CC"/>
    <w:rsid w:val="00827A43"/>
    <w:rsid w:val="00831E38"/>
    <w:rsid w:val="00840519"/>
    <w:rsid w:val="00841B0C"/>
    <w:rsid w:val="00871DB7"/>
    <w:rsid w:val="00884483"/>
    <w:rsid w:val="008A55EF"/>
    <w:rsid w:val="008A570E"/>
    <w:rsid w:val="008B6B0D"/>
    <w:rsid w:val="008D7067"/>
    <w:rsid w:val="008E390D"/>
    <w:rsid w:val="00910E08"/>
    <w:rsid w:val="00917354"/>
    <w:rsid w:val="00932040"/>
    <w:rsid w:val="009778BB"/>
    <w:rsid w:val="009868CD"/>
    <w:rsid w:val="009B621C"/>
    <w:rsid w:val="009C6797"/>
    <w:rsid w:val="009F4FDC"/>
    <w:rsid w:val="00A00D93"/>
    <w:rsid w:val="00A16030"/>
    <w:rsid w:val="00A17AAE"/>
    <w:rsid w:val="00A20267"/>
    <w:rsid w:val="00A322D2"/>
    <w:rsid w:val="00A341E7"/>
    <w:rsid w:val="00A62CAB"/>
    <w:rsid w:val="00A65F23"/>
    <w:rsid w:val="00AD24EE"/>
    <w:rsid w:val="00AD61F5"/>
    <w:rsid w:val="00B04299"/>
    <w:rsid w:val="00B0672B"/>
    <w:rsid w:val="00B169CC"/>
    <w:rsid w:val="00B17CB2"/>
    <w:rsid w:val="00B3741C"/>
    <w:rsid w:val="00B45B7E"/>
    <w:rsid w:val="00B47509"/>
    <w:rsid w:val="00B61EF9"/>
    <w:rsid w:val="00BA57D9"/>
    <w:rsid w:val="00BC152A"/>
    <w:rsid w:val="00BC3276"/>
    <w:rsid w:val="00BF2F83"/>
    <w:rsid w:val="00C032FD"/>
    <w:rsid w:val="00C1029F"/>
    <w:rsid w:val="00C16808"/>
    <w:rsid w:val="00C17E7A"/>
    <w:rsid w:val="00C222DC"/>
    <w:rsid w:val="00C229B8"/>
    <w:rsid w:val="00C22E13"/>
    <w:rsid w:val="00C33F0B"/>
    <w:rsid w:val="00C37B91"/>
    <w:rsid w:val="00C64C77"/>
    <w:rsid w:val="00C74AE3"/>
    <w:rsid w:val="00C8433F"/>
    <w:rsid w:val="00C92996"/>
    <w:rsid w:val="00C93B37"/>
    <w:rsid w:val="00C97F6E"/>
    <w:rsid w:val="00CA2A9A"/>
    <w:rsid w:val="00CC200B"/>
    <w:rsid w:val="00CC3F44"/>
    <w:rsid w:val="00CC69AB"/>
    <w:rsid w:val="00CD2E24"/>
    <w:rsid w:val="00CF7CFB"/>
    <w:rsid w:val="00D04EA3"/>
    <w:rsid w:val="00D06DC0"/>
    <w:rsid w:val="00D22093"/>
    <w:rsid w:val="00D22688"/>
    <w:rsid w:val="00D26C48"/>
    <w:rsid w:val="00D3657E"/>
    <w:rsid w:val="00D4503E"/>
    <w:rsid w:val="00D52E7B"/>
    <w:rsid w:val="00D7278B"/>
    <w:rsid w:val="00D86426"/>
    <w:rsid w:val="00D909BC"/>
    <w:rsid w:val="00DB1E6D"/>
    <w:rsid w:val="00DB7D2A"/>
    <w:rsid w:val="00DC5BA3"/>
    <w:rsid w:val="00DE0526"/>
    <w:rsid w:val="00DF49D3"/>
    <w:rsid w:val="00E0141F"/>
    <w:rsid w:val="00E044FF"/>
    <w:rsid w:val="00E049BB"/>
    <w:rsid w:val="00E05954"/>
    <w:rsid w:val="00E13DB8"/>
    <w:rsid w:val="00E263AE"/>
    <w:rsid w:val="00E43118"/>
    <w:rsid w:val="00E45227"/>
    <w:rsid w:val="00E5152E"/>
    <w:rsid w:val="00E53DFF"/>
    <w:rsid w:val="00E95221"/>
    <w:rsid w:val="00E95AB8"/>
    <w:rsid w:val="00E97155"/>
    <w:rsid w:val="00EA0666"/>
    <w:rsid w:val="00EB7E53"/>
    <w:rsid w:val="00EC54F5"/>
    <w:rsid w:val="00ED655C"/>
    <w:rsid w:val="00EE4252"/>
    <w:rsid w:val="00F0604E"/>
    <w:rsid w:val="00F24B44"/>
    <w:rsid w:val="00F454BA"/>
    <w:rsid w:val="00F459DB"/>
    <w:rsid w:val="00F516A2"/>
    <w:rsid w:val="00F61A82"/>
    <w:rsid w:val="00F65D18"/>
    <w:rsid w:val="00F76134"/>
    <w:rsid w:val="00F81953"/>
    <w:rsid w:val="00F86C68"/>
    <w:rsid w:val="00FA69C3"/>
    <w:rsid w:val="00FB7677"/>
    <w:rsid w:val="00FE06B6"/>
    <w:rsid w:val="00FE79C6"/>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A66AE6"/>
  <w15:chartTrackingRefBased/>
  <w15:docId w15:val="{EDF27E6A-8F6B-4CF0-80A7-19D01513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62C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0B"/>
    <w:pPr>
      <w:tabs>
        <w:tab w:val="center" w:pos="4536"/>
        <w:tab w:val="right" w:pos="9072"/>
      </w:tabs>
    </w:pPr>
  </w:style>
  <w:style w:type="character" w:customStyle="1" w:styleId="En-tteCar">
    <w:name w:val="En-tête Car"/>
    <w:basedOn w:val="Policepardfaut"/>
    <w:link w:val="En-tte"/>
    <w:uiPriority w:val="99"/>
    <w:rsid w:val="00CC200B"/>
  </w:style>
  <w:style w:type="paragraph" w:styleId="Pieddepage">
    <w:name w:val="footer"/>
    <w:basedOn w:val="Normal"/>
    <w:link w:val="PieddepageCar"/>
    <w:uiPriority w:val="99"/>
    <w:unhideWhenUsed/>
    <w:rsid w:val="00CC200B"/>
    <w:pPr>
      <w:tabs>
        <w:tab w:val="center" w:pos="4536"/>
        <w:tab w:val="right" w:pos="9072"/>
      </w:tabs>
    </w:pPr>
  </w:style>
  <w:style w:type="character" w:customStyle="1" w:styleId="PieddepageCar">
    <w:name w:val="Pied de page Car"/>
    <w:basedOn w:val="Policepardfaut"/>
    <w:link w:val="Pieddepage"/>
    <w:uiPriority w:val="99"/>
    <w:rsid w:val="00CC200B"/>
  </w:style>
  <w:style w:type="character" w:styleId="Lienhypertexte">
    <w:name w:val="Hyperlink"/>
    <w:uiPriority w:val="99"/>
    <w:rsid w:val="00CC200B"/>
    <w:rPr>
      <w:b/>
      <w:bCs/>
      <w:strike w:val="0"/>
      <w:dstrike w:val="0"/>
      <w:color w:val="0257B2"/>
      <w:u w:val="none"/>
      <w:effect w:val="none"/>
    </w:rPr>
  </w:style>
  <w:style w:type="paragraph" w:styleId="Textedebulles">
    <w:name w:val="Balloon Text"/>
    <w:basedOn w:val="Normal"/>
    <w:link w:val="TextedebullesCar"/>
    <w:uiPriority w:val="99"/>
    <w:semiHidden/>
    <w:unhideWhenUsed/>
    <w:rsid w:val="000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BA"/>
    <w:rPr>
      <w:rFonts w:ascii="Segoe UI" w:hAnsi="Segoe UI" w:cs="Segoe UI"/>
      <w:sz w:val="18"/>
      <w:szCs w:val="18"/>
    </w:rPr>
  </w:style>
  <w:style w:type="paragraph" w:styleId="Paragraphedeliste">
    <w:name w:val="List Paragraph"/>
    <w:basedOn w:val="Normal"/>
    <w:uiPriority w:val="34"/>
    <w:qFormat/>
    <w:rsid w:val="004725E2"/>
    <w:pPr>
      <w:spacing w:after="200" w:line="276" w:lineRule="auto"/>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783B8B"/>
    <w:rPr>
      <w:sz w:val="20"/>
      <w:szCs w:val="20"/>
    </w:rPr>
  </w:style>
  <w:style w:type="character" w:customStyle="1" w:styleId="NotedebasdepageCar">
    <w:name w:val="Note de bas de page Car"/>
    <w:basedOn w:val="Policepardfaut"/>
    <w:link w:val="Notedebasdepage"/>
    <w:uiPriority w:val="99"/>
    <w:semiHidden/>
    <w:rsid w:val="00783B8B"/>
    <w:rPr>
      <w:sz w:val="20"/>
      <w:szCs w:val="20"/>
    </w:rPr>
  </w:style>
  <w:style w:type="character" w:styleId="Appelnotedebasdep">
    <w:name w:val="footnote reference"/>
    <w:basedOn w:val="Policepardfaut"/>
    <w:uiPriority w:val="99"/>
    <w:semiHidden/>
    <w:unhideWhenUsed/>
    <w:rsid w:val="00783B8B"/>
    <w:rPr>
      <w:vertAlign w:val="superscript"/>
    </w:rPr>
  </w:style>
  <w:style w:type="character" w:customStyle="1" w:styleId="Mentionnonrsolue1">
    <w:name w:val="Mention non résolue1"/>
    <w:basedOn w:val="Policepardfaut"/>
    <w:uiPriority w:val="99"/>
    <w:semiHidden/>
    <w:unhideWhenUsed/>
    <w:rsid w:val="00EB7E53"/>
    <w:rPr>
      <w:color w:val="808080"/>
      <w:shd w:val="clear" w:color="auto" w:fill="E6E6E6"/>
    </w:rPr>
  </w:style>
  <w:style w:type="table" w:styleId="Grilledutableau">
    <w:name w:val="Table Grid"/>
    <w:basedOn w:val="TableauNormal"/>
    <w:uiPriority w:val="39"/>
    <w:rsid w:val="00932040"/>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F68"/>
    <w:pPr>
      <w:autoSpaceDE w:val="0"/>
      <w:autoSpaceDN w:val="0"/>
      <w:adjustRightInd w:val="0"/>
    </w:pPr>
    <w:rPr>
      <w:color w:val="000000"/>
      <w:sz w:val="24"/>
      <w:szCs w:val="24"/>
    </w:rPr>
  </w:style>
  <w:style w:type="paragraph" w:customStyle="1" w:styleId="paragraph">
    <w:name w:val="paragraph"/>
    <w:basedOn w:val="Normal"/>
    <w:rsid w:val="00B17CB2"/>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17CB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7CB2"/>
    <w:rPr>
      <w:b/>
      <w:bCs/>
    </w:rPr>
  </w:style>
  <w:style w:type="paragraph" w:styleId="Notedefin">
    <w:name w:val="endnote text"/>
    <w:basedOn w:val="Normal"/>
    <w:link w:val="NotedefinCar"/>
    <w:uiPriority w:val="99"/>
    <w:semiHidden/>
    <w:unhideWhenUsed/>
    <w:rsid w:val="00F24B44"/>
    <w:rPr>
      <w:sz w:val="20"/>
      <w:szCs w:val="20"/>
    </w:rPr>
  </w:style>
  <w:style w:type="character" w:customStyle="1" w:styleId="NotedefinCar">
    <w:name w:val="Note de fin Car"/>
    <w:basedOn w:val="Policepardfaut"/>
    <w:link w:val="Notedefin"/>
    <w:uiPriority w:val="99"/>
    <w:semiHidden/>
    <w:rsid w:val="00F24B44"/>
    <w:rPr>
      <w:sz w:val="20"/>
      <w:szCs w:val="20"/>
    </w:rPr>
  </w:style>
  <w:style w:type="character" w:styleId="Appeldenotedefin">
    <w:name w:val="endnote reference"/>
    <w:basedOn w:val="Policepardfaut"/>
    <w:uiPriority w:val="99"/>
    <w:semiHidden/>
    <w:unhideWhenUsed/>
    <w:rsid w:val="00F24B44"/>
    <w:rPr>
      <w:vertAlign w:val="superscript"/>
    </w:rPr>
  </w:style>
  <w:style w:type="character" w:customStyle="1" w:styleId="Mentionnonrsolue2">
    <w:name w:val="Mention non résolue2"/>
    <w:basedOn w:val="Policepardfaut"/>
    <w:uiPriority w:val="99"/>
    <w:semiHidden/>
    <w:unhideWhenUsed/>
    <w:rsid w:val="006A323A"/>
    <w:rPr>
      <w:color w:val="808080"/>
      <w:shd w:val="clear" w:color="auto" w:fill="E6E6E6"/>
    </w:rPr>
  </w:style>
  <w:style w:type="character" w:customStyle="1" w:styleId="Titre1Car">
    <w:name w:val="Titre 1 Car"/>
    <w:basedOn w:val="Policepardfaut"/>
    <w:link w:val="Titre1"/>
    <w:uiPriority w:val="9"/>
    <w:rsid w:val="00A62CAB"/>
    <w:rPr>
      <w:rFonts w:asciiTheme="majorHAnsi" w:eastAsiaTheme="majorEastAsia" w:hAnsiTheme="majorHAnsi" w:cstheme="majorBidi"/>
      <w:color w:val="365F91" w:themeColor="accent1" w:themeShade="BF"/>
      <w:sz w:val="32"/>
      <w:szCs w:val="32"/>
    </w:rPr>
  </w:style>
  <w:style w:type="paragraph" w:customStyle="1" w:styleId="titre4">
    <w:name w:val="titre4"/>
    <w:basedOn w:val="Normal"/>
    <w:rsid w:val="00BC3276"/>
    <w:pPr>
      <w:spacing w:line="510" w:lineRule="atLeast"/>
    </w:pPr>
    <w:rPr>
      <w:rFonts w:ascii="Verdana" w:eastAsia="Times New Roman" w:hAnsi="Verdana" w:cs="Times New Roman"/>
      <w:b/>
      <w:bCs/>
      <w:color w:val="19962B"/>
      <w:sz w:val="20"/>
      <w:szCs w:val="20"/>
      <w:lang w:eastAsia="fr-FR"/>
    </w:rPr>
  </w:style>
  <w:style w:type="paragraph" w:customStyle="1" w:styleId="chapo1">
    <w:name w:val="chapo1"/>
    <w:basedOn w:val="Normal"/>
    <w:rsid w:val="00BC3276"/>
    <w:pPr>
      <w:spacing w:before="150" w:after="45"/>
      <w:ind w:left="150" w:right="150"/>
      <w:jc w:val="both"/>
    </w:pPr>
    <w:rPr>
      <w:rFonts w:ascii="Verdana" w:eastAsia="Times New Roman" w:hAnsi="Verdana" w:cs="Times New Roman"/>
      <w:i/>
      <w:iCs/>
      <w:color w:val="009933"/>
      <w:sz w:val="17"/>
      <w:szCs w:val="17"/>
      <w:lang w:eastAsia="fr-FR"/>
    </w:rPr>
  </w:style>
  <w:style w:type="paragraph" w:customStyle="1" w:styleId="texte1">
    <w:name w:val="texte1"/>
    <w:basedOn w:val="Normal"/>
    <w:rsid w:val="00BC3276"/>
    <w:pPr>
      <w:spacing w:before="150"/>
      <w:ind w:left="150" w:right="150"/>
    </w:pPr>
    <w:rPr>
      <w:rFonts w:ascii="Verdana" w:eastAsia="Times New Roman" w:hAnsi="Verdana" w:cs="Times New Roman"/>
      <w:color w:val="263C46"/>
      <w:sz w:val="17"/>
      <w:szCs w:val="17"/>
      <w:lang w:eastAsia="fr-FR"/>
    </w:rPr>
  </w:style>
  <w:style w:type="paragraph" w:customStyle="1" w:styleId="source1">
    <w:name w:val="source1"/>
    <w:basedOn w:val="Normal"/>
    <w:rsid w:val="00BC3276"/>
    <w:pPr>
      <w:spacing w:before="150" w:after="15"/>
      <w:ind w:left="150" w:right="150"/>
    </w:pPr>
    <w:rPr>
      <w:rFonts w:ascii="Verdana" w:eastAsia="Times New Roman" w:hAnsi="Verdana" w:cs="Times New Roman"/>
      <w:i/>
      <w:iCs/>
      <w:color w:val="A0A0A0"/>
      <w:sz w:val="17"/>
      <w:szCs w:val="17"/>
      <w:lang w:eastAsia="fr-FR"/>
    </w:rPr>
  </w:style>
  <w:style w:type="character" w:styleId="Accentuation">
    <w:name w:val="Emphasis"/>
    <w:basedOn w:val="Policepardfaut"/>
    <w:uiPriority w:val="20"/>
    <w:qFormat/>
    <w:rsid w:val="00BC3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80238">
      <w:bodyDiv w:val="1"/>
      <w:marLeft w:val="0"/>
      <w:marRight w:val="0"/>
      <w:marTop w:val="0"/>
      <w:marBottom w:val="0"/>
      <w:divBdr>
        <w:top w:val="none" w:sz="0" w:space="0" w:color="auto"/>
        <w:left w:val="none" w:sz="0" w:space="0" w:color="auto"/>
        <w:bottom w:val="none" w:sz="0" w:space="0" w:color="auto"/>
        <w:right w:val="none" w:sz="0" w:space="0" w:color="auto"/>
      </w:divBdr>
    </w:div>
    <w:div w:id="842821637">
      <w:bodyDiv w:val="1"/>
      <w:marLeft w:val="0"/>
      <w:marRight w:val="0"/>
      <w:marTop w:val="0"/>
      <w:marBottom w:val="0"/>
      <w:divBdr>
        <w:top w:val="none" w:sz="0" w:space="0" w:color="auto"/>
        <w:left w:val="none" w:sz="0" w:space="0" w:color="auto"/>
        <w:bottom w:val="none" w:sz="0" w:space="0" w:color="auto"/>
        <w:right w:val="none" w:sz="0" w:space="0" w:color="auto"/>
      </w:divBdr>
    </w:div>
    <w:div w:id="1281884200">
      <w:bodyDiv w:val="1"/>
      <w:marLeft w:val="0"/>
      <w:marRight w:val="0"/>
      <w:marTop w:val="0"/>
      <w:marBottom w:val="0"/>
      <w:divBdr>
        <w:top w:val="none" w:sz="0" w:space="0" w:color="auto"/>
        <w:left w:val="none" w:sz="0" w:space="0" w:color="auto"/>
        <w:bottom w:val="none" w:sz="0" w:space="0" w:color="auto"/>
        <w:right w:val="none" w:sz="0" w:space="0" w:color="auto"/>
      </w:divBdr>
    </w:div>
    <w:div w:id="1847595360">
      <w:bodyDiv w:val="1"/>
      <w:marLeft w:val="0"/>
      <w:marRight w:val="0"/>
      <w:marTop w:val="0"/>
      <w:marBottom w:val="0"/>
      <w:divBdr>
        <w:top w:val="none" w:sz="0" w:space="0" w:color="auto"/>
        <w:left w:val="none" w:sz="0" w:space="0" w:color="auto"/>
        <w:bottom w:val="none" w:sz="0" w:space="0" w:color="auto"/>
        <w:right w:val="none" w:sz="0" w:space="0" w:color="auto"/>
      </w:divBdr>
    </w:div>
    <w:div w:id="19051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71B3-CCD0-438F-AFBD-1FCD4806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PONT</dc:creator>
  <cp:keywords/>
  <dc:description/>
  <cp:lastModifiedBy>Cedric TELLIER</cp:lastModifiedBy>
  <cp:revision>2</cp:revision>
  <cp:lastPrinted>2020-03-24T14:21:00Z</cp:lastPrinted>
  <dcterms:created xsi:type="dcterms:W3CDTF">2020-03-25T07:33:00Z</dcterms:created>
  <dcterms:modified xsi:type="dcterms:W3CDTF">2020-03-25T07:33:00Z</dcterms:modified>
</cp:coreProperties>
</file>