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28FCA" w14:textId="3A6A26EC" w:rsidR="00BB251E" w:rsidRPr="00122D54" w:rsidRDefault="00BB251E" w:rsidP="00BB251E">
      <w:pPr>
        <w:pStyle w:val="Corpsdetexte"/>
        <w:ind w:left="567" w:right="4"/>
        <w:jc w:val="center"/>
        <w:rPr>
          <w:rFonts w:ascii="Times New Roman"/>
          <w:sz w:val="20"/>
        </w:rPr>
      </w:pPr>
      <w:r w:rsidRPr="00122D54">
        <w:rPr>
          <w:noProof/>
          <w:lang w:eastAsia="fr-FR"/>
        </w:rPr>
        <w:drawing>
          <wp:inline distT="0" distB="0" distL="0" distR="0" wp14:anchorId="16792D23" wp14:editId="41C56484">
            <wp:extent cx="1733550" cy="116951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01_FFIE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9209" cy="1180080"/>
                    </a:xfrm>
                    <a:prstGeom prst="rect">
                      <a:avLst/>
                    </a:prstGeom>
                  </pic:spPr>
                </pic:pic>
              </a:graphicData>
            </a:graphic>
          </wp:inline>
        </w:drawing>
      </w:r>
    </w:p>
    <w:p w14:paraId="3C132A33" w14:textId="77777777" w:rsidR="00BB251E" w:rsidRPr="00122D54" w:rsidRDefault="00BB251E" w:rsidP="00BB251E">
      <w:pPr>
        <w:pStyle w:val="Corpsdetexte"/>
        <w:spacing w:before="2"/>
        <w:ind w:left="567" w:right="4"/>
        <w:rPr>
          <w:rFonts w:ascii="Brandon Grotesque Medium" w:hAnsi="Brandon Grotesque Medium"/>
        </w:rPr>
      </w:pPr>
    </w:p>
    <w:p w14:paraId="4646BCFF" w14:textId="77777777" w:rsidR="00BB251E" w:rsidRPr="00122D54" w:rsidRDefault="00BB251E" w:rsidP="00BB251E">
      <w:pPr>
        <w:ind w:left="567" w:right="4"/>
        <w:jc w:val="right"/>
        <w:rPr>
          <w:rFonts w:ascii="Brandon Grotesque Medium" w:hAnsi="Brandon Grotesque Medium"/>
          <w:szCs w:val="24"/>
        </w:rPr>
      </w:pPr>
      <w:r w:rsidRPr="00122D54">
        <w:rPr>
          <w:rFonts w:ascii="Brandon Grotesque Medium" w:hAnsi="Brandon Grotesque Medium"/>
          <w:szCs w:val="24"/>
        </w:rPr>
        <w:t>Mai 2020</w:t>
      </w:r>
    </w:p>
    <w:p w14:paraId="22CD4DA4" w14:textId="77777777" w:rsidR="00BB251E" w:rsidRPr="00122D54" w:rsidRDefault="00BB251E" w:rsidP="00BB251E">
      <w:pPr>
        <w:ind w:left="567" w:right="4"/>
        <w:rPr>
          <w:rFonts w:ascii="Brandon Grotesque Medium" w:hAnsi="Brandon Grotesque Medium"/>
          <w:b/>
          <w:sz w:val="28"/>
          <w:szCs w:val="24"/>
        </w:rPr>
      </w:pPr>
    </w:p>
    <w:p w14:paraId="39285F99" w14:textId="0E0448A9" w:rsidR="00BB251E" w:rsidRPr="00122D54" w:rsidRDefault="00BB251E" w:rsidP="00BB251E">
      <w:pPr>
        <w:jc w:val="center"/>
        <w:rPr>
          <w:b/>
          <w:bCs/>
        </w:rPr>
      </w:pPr>
      <w:r w:rsidRPr="00122D54">
        <w:rPr>
          <w:b/>
          <w:bCs/>
        </w:rPr>
        <w:t xml:space="preserve"> </w:t>
      </w:r>
      <w:r w:rsidR="00FD7E10">
        <w:rPr>
          <w:b/>
          <w:bCs/>
        </w:rPr>
        <w:t xml:space="preserve">CHANTIER </w:t>
      </w:r>
      <w:r w:rsidRPr="00122D54">
        <w:rPr>
          <w:b/>
          <w:bCs/>
        </w:rPr>
        <w:t>: XXXXXXXXXXXXXXX</w:t>
      </w:r>
    </w:p>
    <w:p w14:paraId="5CE8544F" w14:textId="77777777" w:rsidR="00BB251E" w:rsidRPr="00122D54" w:rsidRDefault="00BB251E" w:rsidP="00BB251E"/>
    <w:p w14:paraId="57F751D6" w14:textId="5D19C036" w:rsidR="00BB251E" w:rsidRDefault="00BB251E" w:rsidP="00BB251E">
      <w:pPr>
        <w:jc w:val="center"/>
        <w:rPr>
          <w:b/>
          <w:bCs/>
          <w:sz w:val="28"/>
          <w:szCs w:val="28"/>
        </w:rPr>
      </w:pPr>
      <w:r w:rsidRPr="00122D54">
        <w:rPr>
          <w:b/>
          <w:bCs/>
          <w:sz w:val="28"/>
          <w:szCs w:val="28"/>
        </w:rPr>
        <w:t>PROTOCOLE DE REPRISE DES TRAVAUX</w:t>
      </w:r>
    </w:p>
    <w:p w14:paraId="48025385" w14:textId="77777777" w:rsidR="00041BA2" w:rsidRPr="00122D54" w:rsidRDefault="00041BA2" w:rsidP="00BB251E">
      <w:pPr>
        <w:jc w:val="center"/>
        <w:rPr>
          <w:sz w:val="28"/>
          <w:szCs w:val="28"/>
        </w:rPr>
      </w:pPr>
      <w:bookmarkStart w:id="0" w:name="_GoBack"/>
      <w:bookmarkEnd w:id="0"/>
    </w:p>
    <w:p w14:paraId="7E599193" w14:textId="77777777" w:rsidR="00BB251E" w:rsidRPr="00122D54" w:rsidRDefault="00BB251E" w:rsidP="00BB251E">
      <w:pPr>
        <w:pStyle w:val="Paragraphestandard"/>
        <w:spacing w:line="240" w:lineRule="auto"/>
        <w:ind w:left="567" w:right="4"/>
        <w:jc w:val="both"/>
        <w:rPr>
          <w:rFonts w:ascii="Brandon Grotesque Medium" w:hAnsi="Brandon Grotesque Medium" w:cs="Brandon Grotesque Medium"/>
          <w:color w:val="auto"/>
          <w:sz w:val="28"/>
          <w:szCs w:val="36"/>
        </w:rPr>
      </w:pPr>
    </w:p>
    <w:p w14:paraId="4D32AAA4" w14:textId="33E1A1F1" w:rsidR="009B3F89" w:rsidRDefault="00553717" w:rsidP="00553717">
      <w:pPr>
        <w:widowControl/>
        <w:autoSpaceDE/>
        <w:autoSpaceDN/>
        <w:spacing w:after="160" w:line="259" w:lineRule="auto"/>
        <w:ind w:left="-567"/>
        <w:rPr>
          <w:rFonts w:asciiTheme="minorHAnsi" w:hAnsiTheme="minorHAnsi" w:cstheme="minorHAnsi"/>
          <w:b/>
          <w:shd w:val="clear" w:color="auto" w:fill="0070C0"/>
        </w:rPr>
      </w:pPr>
      <w:r w:rsidRPr="00553717">
        <w:rPr>
          <w:rFonts w:asciiTheme="minorHAnsi" w:hAnsiTheme="minorHAnsi" w:cstheme="minorHAnsi"/>
          <w:b/>
          <w:shd w:val="clear" w:color="auto" w:fill="0070C0"/>
        </w:rPr>
        <w:drawing>
          <wp:inline distT="0" distB="0" distL="0" distR="0" wp14:anchorId="720E6E51" wp14:editId="68D9FD54">
            <wp:extent cx="6519653" cy="3667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39934" cy="3678533"/>
                    </a:xfrm>
                    <a:prstGeom prst="rect">
                      <a:avLst/>
                    </a:prstGeom>
                  </pic:spPr>
                </pic:pic>
              </a:graphicData>
            </a:graphic>
          </wp:inline>
        </w:drawing>
      </w:r>
      <w:r w:rsidR="00BB251E" w:rsidRPr="00122D54">
        <w:rPr>
          <w:rFonts w:asciiTheme="minorHAnsi" w:hAnsiTheme="minorHAnsi" w:cstheme="minorHAnsi"/>
          <w:b/>
          <w:shd w:val="clear" w:color="auto" w:fill="0070C0"/>
        </w:rPr>
        <w:br w:type="page"/>
      </w:r>
    </w:p>
    <w:p w14:paraId="2BC92155" w14:textId="77777777" w:rsidR="009B3F89" w:rsidRPr="00122D54" w:rsidRDefault="009B3F89">
      <w:pPr>
        <w:widowControl/>
        <w:autoSpaceDE/>
        <w:autoSpaceDN/>
        <w:spacing w:after="160" w:line="259" w:lineRule="auto"/>
        <w:rPr>
          <w:rFonts w:asciiTheme="minorHAnsi" w:hAnsiTheme="minorHAnsi" w:cstheme="minorHAnsi"/>
          <w:b/>
          <w:shd w:val="clear" w:color="auto" w:fill="0070C0"/>
        </w:rPr>
      </w:pPr>
    </w:p>
    <w:p w14:paraId="5E1085DB" w14:textId="77777777" w:rsidR="00BB251E" w:rsidRPr="00122D54" w:rsidRDefault="00BB251E" w:rsidP="00BB251E">
      <w:pPr>
        <w:jc w:val="right"/>
        <w:rPr>
          <w:rFonts w:ascii="Supria Sans Light" w:hAnsi="Supria Sans Light"/>
          <w:bCs/>
        </w:rPr>
      </w:pPr>
      <w:r w:rsidRPr="00122D54">
        <w:rPr>
          <w:rFonts w:ascii="Supria Sans Light" w:hAnsi="Supria Sans Light"/>
          <w:bCs/>
        </w:rPr>
        <w:t>Date</w:t>
      </w:r>
    </w:p>
    <w:p w14:paraId="3AEC0371" w14:textId="77777777" w:rsidR="00BB251E" w:rsidRPr="00122D54" w:rsidRDefault="00BB251E" w:rsidP="00BB251E">
      <w:pPr>
        <w:jc w:val="center"/>
        <w:rPr>
          <w:rFonts w:ascii="Supria Sans Black" w:hAnsi="Supria Sans Black"/>
          <w:b/>
          <w:bCs/>
        </w:rPr>
      </w:pPr>
    </w:p>
    <w:p w14:paraId="0B4CDA93" w14:textId="77777777" w:rsidR="00BB251E" w:rsidRPr="00122D54" w:rsidRDefault="00BB251E" w:rsidP="00BB251E">
      <w:pPr>
        <w:jc w:val="center"/>
        <w:rPr>
          <w:rFonts w:ascii="Supria Sans Black" w:hAnsi="Supria Sans Black"/>
          <w:b/>
          <w:bCs/>
        </w:rPr>
      </w:pPr>
    </w:p>
    <w:p w14:paraId="1E69E8AF" w14:textId="2CC26C46" w:rsidR="00BB251E" w:rsidRPr="00122D54" w:rsidRDefault="00FD7E10" w:rsidP="00BB251E">
      <w:pPr>
        <w:jc w:val="center"/>
        <w:rPr>
          <w:rFonts w:ascii="Supria Sans Black" w:hAnsi="Supria Sans Black"/>
          <w:b/>
          <w:bCs/>
        </w:rPr>
      </w:pPr>
      <w:r>
        <w:rPr>
          <w:rFonts w:ascii="Supria Sans Black" w:hAnsi="Supria Sans Black"/>
          <w:b/>
          <w:bCs/>
        </w:rPr>
        <w:t>CHANTIER</w:t>
      </w:r>
      <w:r w:rsidR="00BB251E" w:rsidRPr="00122D54">
        <w:rPr>
          <w:rFonts w:ascii="Supria Sans Black" w:hAnsi="Supria Sans Black"/>
          <w:b/>
          <w:bCs/>
        </w:rPr>
        <w:t> : XXXXXXXXXXXXXXX</w:t>
      </w:r>
    </w:p>
    <w:p w14:paraId="60104CA7" w14:textId="77777777" w:rsidR="00BB251E" w:rsidRPr="00122D54" w:rsidRDefault="00BB251E" w:rsidP="00BB251E">
      <w:pPr>
        <w:rPr>
          <w:rFonts w:ascii="Supria Sans Black" w:hAnsi="Supria Sans Black"/>
        </w:rPr>
      </w:pPr>
    </w:p>
    <w:p w14:paraId="6C597CA8" w14:textId="77777777" w:rsidR="00BB251E" w:rsidRPr="00122D54" w:rsidRDefault="00BB251E" w:rsidP="00BB251E">
      <w:pPr>
        <w:jc w:val="center"/>
        <w:rPr>
          <w:rFonts w:ascii="Supria Sans Black" w:hAnsi="Supria Sans Black"/>
          <w:sz w:val="28"/>
          <w:szCs w:val="28"/>
        </w:rPr>
      </w:pPr>
      <w:r w:rsidRPr="00122D54">
        <w:rPr>
          <w:rFonts w:ascii="Supria Sans Black" w:hAnsi="Supria Sans Black"/>
          <w:b/>
          <w:bCs/>
          <w:sz w:val="28"/>
          <w:szCs w:val="28"/>
        </w:rPr>
        <w:t>PROTOCOLE DE REPRISE DES TRAVAUX</w:t>
      </w:r>
    </w:p>
    <w:p w14:paraId="401018A4" w14:textId="77777777" w:rsidR="00BB251E" w:rsidRPr="00122D54" w:rsidRDefault="00BB251E" w:rsidP="00BB251E">
      <w:pPr>
        <w:ind w:left="567" w:right="4"/>
        <w:rPr>
          <w:rFonts w:asciiTheme="minorHAnsi" w:hAnsiTheme="minorHAnsi" w:cstheme="minorHAnsi"/>
          <w:b/>
          <w:shd w:val="clear" w:color="auto" w:fill="0070C0"/>
        </w:rPr>
      </w:pPr>
    </w:p>
    <w:p w14:paraId="448E1CBA" w14:textId="77777777" w:rsidR="00BB251E" w:rsidRPr="00122D54" w:rsidRDefault="00BB251E" w:rsidP="00BB251E">
      <w:pPr>
        <w:rPr>
          <w:rFonts w:asciiTheme="minorHAnsi" w:hAnsiTheme="minorHAnsi" w:cstheme="minorHAnsi"/>
        </w:rPr>
      </w:pPr>
      <w:r w:rsidRPr="00122D54">
        <w:rPr>
          <w:rFonts w:cstheme="minorHAnsi"/>
        </w:rPr>
        <w:br/>
      </w:r>
      <w:r w:rsidRPr="00122D54">
        <w:rPr>
          <w:rFonts w:asciiTheme="minorHAnsi" w:hAnsiTheme="minorHAnsi" w:cstheme="minorHAnsi"/>
          <w:b/>
          <w:bCs/>
        </w:rPr>
        <w:t>ENTRE LES SOUSSIGNÉES :</w:t>
      </w:r>
    </w:p>
    <w:p w14:paraId="1AF0DA8C" w14:textId="77777777" w:rsidR="00BB251E" w:rsidRPr="00122D54" w:rsidRDefault="00BB251E" w:rsidP="00BB251E">
      <w:pPr>
        <w:rPr>
          <w:rFonts w:asciiTheme="minorHAnsi" w:hAnsiTheme="minorHAnsi" w:cstheme="minorHAnsi"/>
        </w:rPr>
      </w:pPr>
    </w:p>
    <w:p w14:paraId="24FCF192" w14:textId="77777777" w:rsidR="00BB251E" w:rsidRPr="00122D54" w:rsidRDefault="00BB251E" w:rsidP="00BB251E">
      <w:pPr>
        <w:rPr>
          <w:rFonts w:asciiTheme="minorHAnsi" w:hAnsiTheme="minorHAnsi" w:cstheme="minorHAnsi"/>
          <w:b/>
          <w:bCs/>
          <w:i/>
        </w:rPr>
      </w:pPr>
      <w:r w:rsidRPr="00122D54">
        <w:rPr>
          <w:rFonts w:asciiTheme="minorHAnsi" w:hAnsiTheme="minorHAnsi" w:cstheme="minorHAnsi"/>
          <w:b/>
          <w:bCs/>
        </w:rPr>
        <w:t xml:space="preserve">La société </w:t>
      </w:r>
      <w:r w:rsidRPr="00122D54">
        <w:rPr>
          <w:rFonts w:asciiTheme="minorHAnsi" w:hAnsiTheme="minorHAnsi" w:cstheme="minorHAnsi"/>
          <w:b/>
          <w:bCs/>
          <w:i/>
        </w:rPr>
        <w:t>[désignation intégrale à compléter],</w:t>
      </w:r>
    </w:p>
    <w:p w14:paraId="16CC372C" w14:textId="77777777" w:rsidR="00BB251E" w:rsidRPr="00122D54" w:rsidRDefault="00BB251E" w:rsidP="00BB251E">
      <w:pPr>
        <w:jc w:val="right"/>
        <w:rPr>
          <w:rFonts w:asciiTheme="minorHAnsi" w:hAnsiTheme="minorHAnsi" w:cstheme="minorHAnsi"/>
          <w:iCs/>
        </w:rPr>
      </w:pPr>
      <w:r w:rsidRPr="00122D54">
        <w:rPr>
          <w:rFonts w:asciiTheme="minorHAnsi" w:hAnsiTheme="minorHAnsi" w:cstheme="minorHAnsi"/>
          <w:iCs/>
        </w:rPr>
        <w:t>ci-après le « </w:t>
      </w:r>
      <w:r w:rsidRPr="00122D54">
        <w:rPr>
          <w:rFonts w:asciiTheme="minorHAnsi" w:hAnsiTheme="minorHAnsi" w:cstheme="minorHAnsi"/>
          <w:b/>
          <w:bCs/>
          <w:iCs/>
        </w:rPr>
        <w:t>Maître d’Ouvrage</w:t>
      </w:r>
      <w:r w:rsidRPr="00122D54">
        <w:rPr>
          <w:rFonts w:asciiTheme="minorHAnsi" w:hAnsiTheme="minorHAnsi" w:cstheme="minorHAnsi"/>
          <w:iCs/>
        </w:rPr>
        <w:t> »,</w:t>
      </w:r>
    </w:p>
    <w:p w14:paraId="336D5140" w14:textId="77777777" w:rsidR="00BB251E" w:rsidRPr="00122D54" w:rsidRDefault="00BB251E" w:rsidP="00BB251E">
      <w:pPr>
        <w:jc w:val="right"/>
        <w:rPr>
          <w:rFonts w:asciiTheme="minorHAnsi" w:hAnsiTheme="minorHAnsi" w:cstheme="minorHAnsi"/>
        </w:rPr>
      </w:pPr>
      <w:r w:rsidRPr="00122D54">
        <w:rPr>
          <w:rFonts w:asciiTheme="minorHAnsi" w:hAnsiTheme="minorHAnsi" w:cstheme="minorHAnsi"/>
        </w:rPr>
        <w:t>d’une part,</w:t>
      </w:r>
    </w:p>
    <w:p w14:paraId="03D2DBEC" w14:textId="77777777" w:rsidR="00BB251E" w:rsidRPr="00122D54" w:rsidRDefault="00BB251E" w:rsidP="00BB251E">
      <w:pPr>
        <w:rPr>
          <w:rFonts w:asciiTheme="minorHAnsi" w:hAnsiTheme="minorHAnsi" w:cstheme="minorHAnsi"/>
          <w:b/>
          <w:bCs/>
        </w:rPr>
      </w:pPr>
      <w:r w:rsidRPr="00122D54">
        <w:rPr>
          <w:rFonts w:asciiTheme="minorHAnsi" w:hAnsiTheme="minorHAnsi" w:cstheme="minorHAnsi"/>
          <w:b/>
          <w:bCs/>
        </w:rPr>
        <w:t>et</w:t>
      </w:r>
    </w:p>
    <w:p w14:paraId="4B4B8DC7" w14:textId="77777777" w:rsidR="00BB251E" w:rsidRPr="00122D54" w:rsidRDefault="00BB251E" w:rsidP="00BB251E">
      <w:pPr>
        <w:rPr>
          <w:rFonts w:asciiTheme="minorHAnsi" w:hAnsiTheme="minorHAnsi" w:cstheme="minorHAnsi"/>
        </w:rPr>
      </w:pPr>
    </w:p>
    <w:p w14:paraId="2C8AE91B" w14:textId="77777777" w:rsidR="00BB251E" w:rsidRPr="00122D54" w:rsidRDefault="00BB251E" w:rsidP="00BB251E">
      <w:pPr>
        <w:rPr>
          <w:rFonts w:asciiTheme="minorHAnsi" w:hAnsiTheme="minorHAnsi" w:cstheme="minorHAnsi"/>
          <w:b/>
          <w:bCs/>
          <w:i/>
        </w:rPr>
      </w:pPr>
      <w:r w:rsidRPr="00122D54">
        <w:rPr>
          <w:rFonts w:asciiTheme="minorHAnsi" w:hAnsiTheme="minorHAnsi" w:cstheme="minorHAnsi"/>
          <w:b/>
          <w:bCs/>
        </w:rPr>
        <w:t xml:space="preserve">La société </w:t>
      </w:r>
      <w:r w:rsidRPr="00122D54">
        <w:rPr>
          <w:rFonts w:asciiTheme="minorHAnsi" w:hAnsiTheme="minorHAnsi" w:cstheme="minorHAnsi"/>
          <w:b/>
          <w:bCs/>
          <w:i/>
          <w:iCs/>
        </w:rPr>
        <w:t>[</w:t>
      </w:r>
      <w:r w:rsidRPr="00122D54">
        <w:rPr>
          <w:rFonts w:asciiTheme="minorHAnsi" w:hAnsiTheme="minorHAnsi" w:cstheme="minorHAnsi"/>
          <w:b/>
          <w:bCs/>
          <w:i/>
        </w:rPr>
        <w:t>désignation intégrale à compléter],</w:t>
      </w:r>
    </w:p>
    <w:p w14:paraId="681D742B" w14:textId="77777777" w:rsidR="00BB251E" w:rsidRPr="00122D54" w:rsidRDefault="00BB251E" w:rsidP="00BB251E">
      <w:pPr>
        <w:jc w:val="right"/>
        <w:rPr>
          <w:rFonts w:asciiTheme="minorHAnsi" w:hAnsiTheme="minorHAnsi" w:cstheme="minorHAnsi"/>
          <w:iCs/>
        </w:rPr>
      </w:pPr>
      <w:r w:rsidRPr="00122D54">
        <w:rPr>
          <w:rFonts w:asciiTheme="minorHAnsi" w:hAnsiTheme="minorHAnsi" w:cstheme="minorHAnsi"/>
          <w:iCs/>
        </w:rPr>
        <w:t>ci-après la « </w:t>
      </w:r>
      <w:r w:rsidRPr="00122D54">
        <w:rPr>
          <w:rFonts w:asciiTheme="minorHAnsi" w:hAnsiTheme="minorHAnsi" w:cstheme="minorHAnsi"/>
          <w:b/>
          <w:bCs/>
          <w:iCs/>
        </w:rPr>
        <w:t>Société</w:t>
      </w:r>
      <w:r w:rsidRPr="00122D54">
        <w:rPr>
          <w:rFonts w:asciiTheme="minorHAnsi" w:hAnsiTheme="minorHAnsi" w:cstheme="minorHAnsi"/>
          <w:iCs/>
        </w:rPr>
        <w:t> »,</w:t>
      </w:r>
    </w:p>
    <w:p w14:paraId="4CFE7AC6" w14:textId="77777777" w:rsidR="00BB251E" w:rsidRPr="00122D54" w:rsidRDefault="00BB251E" w:rsidP="00BB251E">
      <w:pPr>
        <w:jc w:val="right"/>
        <w:rPr>
          <w:rFonts w:asciiTheme="minorHAnsi" w:hAnsiTheme="minorHAnsi" w:cstheme="minorHAnsi"/>
        </w:rPr>
      </w:pPr>
      <w:r w:rsidRPr="00122D54">
        <w:rPr>
          <w:rFonts w:asciiTheme="minorHAnsi" w:hAnsiTheme="minorHAnsi" w:cstheme="minorHAnsi"/>
        </w:rPr>
        <w:t>d’autre part,</w:t>
      </w:r>
    </w:p>
    <w:p w14:paraId="59B8E002" w14:textId="77777777" w:rsidR="00BB251E" w:rsidRPr="00122D54" w:rsidRDefault="00BB251E" w:rsidP="00BB251E">
      <w:pPr>
        <w:rPr>
          <w:rFonts w:asciiTheme="minorHAnsi" w:hAnsiTheme="minorHAnsi" w:cstheme="minorHAnsi"/>
        </w:rPr>
      </w:pPr>
    </w:p>
    <w:p w14:paraId="2476A404" w14:textId="77777777" w:rsidR="00BB251E" w:rsidRPr="00122D54" w:rsidRDefault="00BB251E" w:rsidP="00BB251E">
      <w:pPr>
        <w:rPr>
          <w:rFonts w:asciiTheme="minorHAnsi" w:hAnsiTheme="minorHAnsi" w:cstheme="minorHAnsi"/>
          <w:bCs/>
        </w:rPr>
      </w:pPr>
      <w:r w:rsidRPr="00122D54">
        <w:rPr>
          <w:rFonts w:asciiTheme="minorHAnsi" w:hAnsiTheme="minorHAnsi" w:cstheme="minorHAnsi"/>
          <w:bCs/>
        </w:rPr>
        <w:t>ci-après étant individuellement désignés une « </w:t>
      </w:r>
      <w:r w:rsidRPr="00122D54">
        <w:rPr>
          <w:rFonts w:asciiTheme="minorHAnsi" w:hAnsiTheme="minorHAnsi" w:cstheme="minorHAnsi"/>
          <w:b/>
          <w:bCs/>
        </w:rPr>
        <w:t>Partie </w:t>
      </w:r>
      <w:r w:rsidRPr="00122D54">
        <w:rPr>
          <w:rFonts w:asciiTheme="minorHAnsi" w:hAnsiTheme="minorHAnsi" w:cstheme="minorHAnsi"/>
          <w:bCs/>
        </w:rPr>
        <w:t>» et collectivement les « </w:t>
      </w:r>
      <w:r w:rsidRPr="00122D54">
        <w:rPr>
          <w:rFonts w:asciiTheme="minorHAnsi" w:hAnsiTheme="minorHAnsi" w:cstheme="minorHAnsi"/>
          <w:b/>
          <w:bCs/>
        </w:rPr>
        <w:t>Parties </w:t>
      </w:r>
      <w:r w:rsidRPr="00122D54">
        <w:rPr>
          <w:rFonts w:asciiTheme="minorHAnsi" w:hAnsiTheme="minorHAnsi" w:cstheme="minorHAnsi"/>
          <w:bCs/>
        </w:rPr>
        <w:t>»,</w:t>
      </w:r>
    </w:p>
    <w:p w14:paraId="767EE785" w14:textId="77777777" w:rsidR="00BB251E" w:rsidRPr="00122D54" w:rsidRDefault="00BB251E" w:rsidP="00BB251E">
      <w:pPr>
        <w:rPr>
          <w:rFonts w:ascii="Brandon Grotesque Medium" w:hAnsi="Brandon Grotesque Medium" w:cstheme="minorHAnsi"/>
          <w:bCs/>
        </w:rPr>
      </w:pPr>
    </w:p>
    <w:p w14:paraId="7D84D0C0" w14:textId="77777777" w:rsidR="00BB251E" w:rsidRPr="00122D54" w:rsidRDefault="00BB251E" w:rsidP="00BB251E">
      <w:pPr>
        <w:rPr>
          <w:rFonts w:asciiTheme="minorHAnsi" w:hAnsiTheme="minorHAnsi" w:cstheme="minorHAnsi"/>
          <w:bCs/>
        </w:rPr>
      </w:pPr>
    </w:p>
    <w:p w14:paraId="6B494444" w14:textId="77777777" w:rsidR="00BB251E" w:rsidRPr="00122D54" w:rsidRDefault="00BB251E" w:rsidP="00BB251E">
      <w:pPr>
        <w:rPr>
          <w:bCs/>
        </w:rPr>
      </w:pPr>
    </w:p>
    <w:p w14:paraId="74CCE1E8" w14:textId="77777777" w:rsidR="00BB251E" w:rsidRPr="00122D54" w:rsidRDefault="00BB251E" w:rsidP="00BB251E">
      <w:pPr>
        <w:jc w:val="both"/>
        <w:rPr>
          <w:rFonts w:asciiTheme="minorHAnsi" w:hAnsiTheme="minorHAnsi" w:cstheme="minorHAnsi"/>
          <w:b/>
        </w:rPr>
      </w:pPr>
      <w:r w:rsidRPr="00122D54">
        <w:rPr>
          <w:rFonts w:asciiTheme="minorHAnsi" w:hAnsiTheme="minorHAnsi" w:cstheme="minorHAnsi"/>
          <w:b/>
        </w:rPr>
        <w:t>APRÈS AVOIR EXPOSÉ QUE :</w:t>
      </w:r>
    </w:p>
    <w:p w14:paraId="73036F33" w14:textId="77777777" w:rsidR="00BB251E" w:rsidRPr="00122D54" w:rsidRDefault="00BB251E" w:rsidP="00BB251E">
      <w:pPr>
        <w:jc w:val="both"/>
        <w:rPr>
          <w:rFonts w:asciiTheme="minorHAnsi" w:hAnsiTheme="minorHAnsi" w:cstheme="minorHAnsi"/>
        </w:rPr>
      </w:pPr>
    </w:p>
    <w:p w14:paraId="65CDE359" w14:textId="77777777" w:rsidR="00BB251E" w:rsidRPr="00122D54" w:rsidRDefault="00BB251E" w:rsidP="00BB251E">
      <w:pPr>
        <w:jc w:val="both"/>
        <w:rPr>
          <w:rFonts w:asciiTheme="minorHAnsi" w:hAnsiTheme="minorHAnsi" w:cstheme="minorHAnsi"/>
        </w:rPr>
      </w:pPr>
      <w:r w:rsidRPr="00122D54">
        <w:rPr>
          <w:rFonts w:asciiTheme="minorHAnsi" w:hAnsiTheme="minorHAnsi" w:cstheme="minorHAnsi"/>
        </w:rPr>
        <w:t xml:space="preserve">Le Maître d’Ouvrage et la Société ont conclu, le </w:t>
      </w:r>
      <w:bookmarkStart w:id="1" w:name="_Hlk36038073"/>
      <w:r w:rsidRPr="00122D54">
        <w:rPr>
          <w:rFonts w:asciiTheme="minorHAnsi" w:hAnsiTheme="minorHAnsi" w:cstheme="minorHAnsi"/>
          <w:b/>
          <w:i/>
        </w:rPr>
        <w:t>[à compléter]</w:t>
      </w:r>
      <w:bookmarkEnd w:id="1"/>
      <w:r w:rsidRPr="00122D54">
        <w:rPr>
          <w:rFonts w:asciiTheme="minorHAnsi" w:hAnsiTheme="minorHAnsi" w:cstheme="minorHAnsi"/>
        </w:rPr>
        <w:t xml:space="preserve">, le marché portant sur la réalisation des travaux de </w:t>
      </w:r>
      <w:r w:rsidRPr="00122D54">
        <w:rPr>
          <w:rFonts w:asciiTheme="minorHAnsi" w:hAnsiTheme="minorHAnsi" w:cstheme="minorHAnsi"/>
          <w:b/>
          <w:i/>
        </w:rPr>
        <w:t>[à compléter]</w:t>
      </w:r>
      <w:r w:rsidRPr="00122D54">
        <w:rPr>
          <w:rFonts w:asciiTheme="minorHAnsi" w:hAnsiTheme="minorHAnsi" w:cstheme="minorHAnsi"/>
        </w:rPr>
        <w:t xml:space="preserve"> (ci-après « le </w:t>
      </w:r>
      <w:r w:rsidRPr="00122D54">
        <w:rPr>
          <w:rFonts w:asciiTheme="minorHAnsi" w:hAnsiTheme="minorHAnsi" w:cstheme="minorHAnsi"/>
          <w:b/>
          <w:bCs/>
        </w:rPr>
        <w:t>Marché</w:t>
      </w:r>
      <w:r w:rsidRPr="00122D54">
        <w:rPr>
          <w:rFonts w:asciiTheme="minorHAnsi" w:hAnsiTheme="minorHAnsi" w:cstheme="minorHAnsi"/>
        </w:rPr>
        <w:t> »).</w:t>
      </w:r>
    </w:p>
    <w:p w14:paraId="2697B5DC" w14:textId="77777777" w:rsidR="00BB251E" w:rsidRPr="00122D54" w:rsidRDefault="00BB251E" w:rsidP="00BB251E">
      <w:pPr>
        <w:jc w:val="both"/>
        <w:rPr>
          <w:rFonts w:asciiTheme="minorHAnsi" w:hAnsiTheme="minorHAnsi" w:cstheme="minorHAnsi"/>
        </w:rPr>
      </w:pPr>
    </w:p>
    <w:p w14:paraId="25287B4F" w14:textId="77777777" w:rsidR="00BB251E" w:rsidRPr="00122D54" w:rsidRDefault="00BB251E" w:rsidP="00BB251E">
      <w:pPr>
        <w:jc w:val="both"/>
        <w:rPr>
          <w:rFonts w:asciiTheme="minorHAnsi" w:hAnsiTheme="minorHAnsi" w:cstheme="minorHAnsi"/>
          <w:iCs/>
        </w:rPr>
      </w:pPr>
      <w:r w:rsidRPr="00122D54">
        <w:rPr>
          <w:rFonts w:asciiTheme="minorHAnsi" w:hAnsiTheme="minorHAnsi" w:cstheme="minorHAnsi"/>
        </w:rPr>
        <w:t>Eu égard à la situation sanitaire résultant de l'épidémie de Covid-19, l’Etat a pris diverses mesures au cours du mois de mars 2020 qui ont conduit à la publication du décret n°2020-260 du 16 mars 2020 portant réglementation des déplacements dans le cadre de la lutte contre la propagation du virus Covid-19 (remplacé depuis par le</w:t>
      </w:r>
      <w:r w:rsidRPr="00122D54">
        <w:rPr>
          <w:rFonts w:asciiTheme="minorHAnsi" w:hAnsiTheme="minorHAnsi" w:cstheme="minorHAnsi"/>
          <w:iCs/>
        </w:rPr>
        <w:t xml:space="preserve"> décret </w:t>
      </w:r>
      <w:r w:rsidRPr="00122D54">
        <w:rPr>
          <w:rFonts w:asciiTheme="minorHAnsi" w:hAnsiTheme="minorHAnsi" w:cstheme="minorHAnsi"/>
          <w:bCs/>
          <w:iCs/>
        </w:rPr>
        <w:t>n° 2020-293</w:t>
      </w:r>
      <w:r w:rsidRPr="00122D54">
        <w:rPr>
          <w:rFonts w:asciiTheme="minorHAnsi" w:hAnsiTheme="minorHAnsi" w:cstheme="minorHAnsi"/>
          <w:b/>
          <w:bCs/>
          <w:iCs/>
        </w:rPr>
        <w:t xml:space="preserve"> </w:t>
      </w:r>
      <w:r w:rsidRPr="00122D54">
        <w:rPr>
          <w:rFonts w:asciiTheme="minorHAnsi" w:hAnsiTheme="minorHAnsi" w:cstheme="minorHAnsi"/>
          <w:iCs/>
        </w:rPr>
        <w:t>du 23 mars 2020)</w:t>
      </w:r>
      <w:r w:rsidRPr="00122D54">
        <w:rPr>
          <w:rFonts w:asciiTheme="minorHAnsi" w:hAnsiTheme="minorHAnsi" w:cstheme="minorHAnsi"/>
        </w:rPr>
        <w:t xml:space="preserve"> interdisant </w:t>
      </w:r>
      <w:r w:rsidRPr="00122D54">
        <w:rPr>
          <w:rFonts w:asciiTheme="minorHAnsi" w:hAnsiTheme="minorHAnsi" w:cstheme="minorHAnsi"/>
          <w:iCs/>
        </w:rPr>
        <w:t xml:space="preserve">tout déplacement de personnes hors de son domicile </w:t>
      </w:r>
      <w:r w:rsidRPr="00122D54">
        <w:rPr>
          <w:rFonts w:asciiTheme="minorHAnsi" w:hAnsiTheme="minorHAnsi" w:cstheme="minorHAnsi"/>
          <w:i/>
          <w:iCs/>
        </w:rPr>
        <w:t>« à l’exception des déplacements pour les motifs suivants, en évitant tout regroupement de personnes : 1° Trajets entre le domicile et le ou les lieux d’exercice de l’activité professionnelle et déplacements professionnels insusceptibles d’être différés (…) »</w:t>
      </w:r>
      <w:r w:rsidRPr="00122D54">
        <w:rPr>
          <w:rFonts w:asciiTheme="minorHAnsi" w:hAnsiTheme="minorHAnsi" w:cstheme="minorHAnsi"/>
          <w:iCs/>
        </w:rPr>
        <w:t xml:space="preserve">. </w:t>
      </w:r>
    </w:p>
    <w:p w14:paraId="1D0F5CFE" w14:textId="77777777" w:rsidR="00BB251E" w:rsidRPr="00122D54" w:rsidRDefault="00BB251E" w:rsidP="00BB251E">
      <w:pPr>
        <w:jc w:val="both"/>
        <w:rPr>
          <w:rFonts w:asciiTheme="minorHAnsi" w:hAnsiTheme="minorHAnsi" w:cstheme="minorHAnsi"/>
        </w:rPr>
      </w:pPr>
    </w:p>
    <w:p w14:paraId="716F4733" w14:textId="77777777" w:rsidR="00BB251E" w:rsidRPr="00122D54" w:rsidRDefault="00BB251E" w:rsidP="00BB251E">
      <w:pPr>
        <w:jc w:val="both"/>
        <w:rPr>
          <w:rFonts w:asciiTheme="minorHAnsi" w:hAnsiTheme="minorHAnsi" w:cstheme="minorHAnsi"/>
        </w:rPr>
      </w:pPr>
      <w:r w:rsidRPr="00122D54">
        <w:rPr>
          <w:rFonts w:asciiTheme="minorHAnsi" w:hAnsiTheme="minorHAnsi" w:cstheme="minorHAnsi"/>
          <w:b/>
          <w:bCs/>
          <w:i/>
          <w:iCs/>
        </w:rPr>
        <w:t>[</w:t>
      </w:r>
      <w:r w:rsidRPr="00122D54">
        <w:rPr>
          <w:rFonts w:asciiTheme="minorHAnsi" w:hAnsiTheme="minorHAnsi" w:cstheme="minorHAnsi"/>
        </w:rPr>
        <w:t xml:space="preserve">Par un courrier en date du </w:t>
      </w:r>
      <w:r w:rsidRPr="00122D54">
        <w:rPr>
          <w:rFonts w:asciiTheme="minorHAnsi" w:hAnsiTheme="minorHAnsi" w:cstheme="minorHAnsi"/>
          <w:b/>
          <w:i/>
        </w:rPr>
        <w:t>[à compléter]</w:t>
      </w:r>
      <w:r w:rsidRPr="00122D54">
        <w:rPr>
          <w:rFonts w:asciiTheme="minorHAnsi" w:hAnsiTheme="minorHAnsi" w:cstheme="minorHAnsi"/>
        </w:rPr>
        <w:t>, la Société a informé le Maître d’Ouvrage n’être plus en mesure de poursuivre l’exécution du Marché et solliciter la régularisation de son ajournement</w:t>
      </w:r>
      <w:r w:rsidRPr="00122D54">
        <w:rPr>
          <w:rFonts w:asciiTheme="minorHAnsi" w:hAnsiTheme="minorHAnsi" w:cstheme="minorHAnsi"/>
          <w:b/>
          <w:bCs/>
          <w:i/>
          <w:iCs/>
        </w:rPr>
        <w:t>]</w:t>
      </w:r>
      <w:r w:rsidRPr="00122D54">
        <w:rPr>
          <w:rFonts w:asciiTheme="minorHAnsi" w:hAnsiTheme="minorHAnsi" w:cstheme="minorHAnsi"/>
        </w:rPr>
        <w:t xml:space="preserve"> </w:t>
      </w:r>
      <w:r w:rsidRPr="00122D54">
        <w:rPr>
          <w:rFonts w:asciiTheme="minorHAnsi" w:hAnsiTheme="minorHAnsi" w:cstheme="minorHAnsi"/>
          <w:b/>
          <w:bCs/>
          <w:i/>
          <w:iCs/>
        </w:rPr>
        <w:t>[</w:t>
      </w:r>
      <w:r w:rsidRPr="00122D54">
        <w:rPr>
          <w:rFonts w:asciiTheme="minorHAnsi" w:hAnsiTheme="minorHAnsi" w:cstheme="minorHAnsi"/>
          <w:b/>
          <w:i/>
        </w:rPr>
        <w:t xml:space="preserve">ou selon le cas : </w:t>
      </w:r>
      <w:r w:rsidRPr="00122D54">
        <w:rPr>
          <w:rFonts w:asciiTheme="minorHAnsi" w:hAnsiTheme="minorHAnsi" w:cstheme="minorHAnsi"/>
          <w:bCs/>
          <w:iCs/>
        </w:rPr>
        <w:t xml:space="preserve">le Maître d’Ouvrage a émis le </w:t>
      </w:r>
      <w:r w:rsidRPr="00122D54">
        <w:rPr>
          <w:rFonts w:asciiTheme="minorHAnsi" w:hAnsiTheme="minorHAnsi" w:cstheme="minorHAnsi"/>
          <w:b/>
          <w:i/>
        </w:rPr>
        <w:t>[à compléter]</w:t>
      </w:r>
      <w:r w:rsidRPr="00122D54">
        <w:rPr>
          <w:rFonts w:asciiTheme="minorHAnsi" w:hAnsiTheme="minorHAnsi" w:cstheme="minorHAnsi"/>
        </w:rPr>
        <w:t xml:space="preserve"> </w:t>
      </w:r>
      <w:r w:rsidRPr="00122D54">
        <w:rPr>
          <w:rFonts w:asciiTheme="minorHAnsi" w:hAnsiTheme="minorHAnsi" w:cstheme="minorHAnsi"/>
          <w:bCs/>
          <w:iCs/>
        </w:rPr>
        <w:t>un ordre de service de suspension des travaux</w:t>
      </w:r>
      <w:r w:rsidRPr="00122D54">
        <w:rPr>
          <w:rFonts w:asciiTheme="minorHAnsi" w:hAnsiTheme="minorHAnsi" w:cstheme="minorHAnsi"/>
          <w:b/>
          <w:i/>
        </w:rPr>
        <w:t>]</w:t>
      </w:r>
      <w:r w:rsidRPr="00122D54">
        <w:rPr>
          <w:rFonts w:asciiTheme="minorHAnsi" w:hAnsiTheme="minorHAnsi" w:cstheme="minorHAnsi"/>
        </w:rPr>
        <w:t>, justifié notamment par les raisons suivantes :</w:t>
      </w:r>
    </w:p>
    <w:p w14:paraId="550B61F1" w14:textId="77777777" w:rsidR="00BB251E" w:rsidRPr="00122D54" w:rsidRDefault="00BB251E" w:rsidP="00BB251E">
      <w:pPr>
        <w:jc w:val="both"/>
        <w:rPr>
          <w:rFonts w:asciiTheme="minorHAnsi" w:hAnsiTheme="minorHAnsi" w:cstheme="minorHAnsi"/>
        </w:rPr>
      </w:pPr>
    </w:p>
    <w:p w14:paraId="30B9427A" w14:textId="77777777" w:rsidR="00BB251E" w:rsidRPr="00122D54" w:rsidRDefault="00BB251E" w:rsidP="00BB251E">
      <w:pPr>
        <w:pStyle w:val="Paragraphedeliste"/>
        <w:numPr>
          <w:ilvl w:val="0"/>
          <w:numId w:val="9"/>
        </w:numPr>
        <w:spacing w:after="0" w:line="240" w:lineRule="auto"/>
        <w:ind w:left="567" w:hanging="283"/>
        <w:jc w:val="both"/>
      </w:pPr>
      <w:r w:rsidRPr="00122D54">
        <w:t>le respect des instructions des pouvoirs publics ;</w:t>
      </w:r>
    </w:p>
    <w:p w14:paraId="4E3819B0" w14:textId="39C07E70" w:rsidR="00BB251E" w:rsidRDefault="00BB251E" w:rsidP="00BB251E">
      <w:pPr>
        <w:pStyle w:val="Paragraphedeliste"/>
        <w:numPr>
          <w:ilvl w:val="0"/>
          <w:numId w:val="9"/>
        </w:numPr>
        <w:spacing w:after="0" w:line="240" w:lineRule="auto"/>
        <w:ind w:left="567" w:hanging="283"/>
        <w:jc w:val="both"/>
      </w:pPr>
      <w:r w:rsidRPr="00122D54">
        <w:t>la protection de la santé de ses salariés et de leur entourage ;</w:t>
      </w:r>
    </w:p>
    <w:p w14:paraId="593E46D5" w14:textId="77777777" w:rsidR="008961D1" w:rsidRPr="00122D54" w:rsidRDefault="00BB251E" w:rsidP="00FD7E10">
      <w:pPr>
        <w:pStyle w:val="Paragraphedeliste"/>
        <w:numPr>
          <w:ilvl w:val="0"/>
          <w:numId w:val="9"/>
        </w:numPr>
        <w:spacing w:after="0" w:line="240" w:lineRule="auto"/>
        <w:ind w:left="567" w:hanging="283"/>
        <w:jc w:val="both"/>
      </w:pPr>
      <w:r w:rsidRPr="00122D54">
        <w:t>le maintien de la confiance que les salariés doivent avoir dans les mesures de protection mises en place, préalablement à la reprise des travaux, afin d’éviter que ces derniers ne fassent valoir leur droit de retrait.</w:t>
      </w:r>
    </w:p>
    <w:p w14:paraId="453047AC" w14:textId="77777777" w:rsidR="00BB251E" w:rsidRPr="00122D54" w:rsidRDefault="00BB251E" w:rsidP="00BB251E">
      <w:pPr>
        <w:ind w:right="4"/>
      </w:pPr>
    </w:p>
    <w:p w14:paraId="683A79B5" w14:textId="77777777" w:rsidR="00BB251E" w:rsidRPr="00122D54" w:rsidRDefault="00BB251E" w:rsidP="00BB251E">
      <w:pPr>
        <w:jc w:val="both"/>
        <w:rPr>
          <w:rFonts w:asciiTheme="minorHAnsi" w:hAnsiTheme="minorHAnsi" w:cstheme="minorHAnsi"/>
        </w:rPr>
      </w:pPr>
      <w:r w:rsidRPr="00122D54">
        <w:rPr>
          <w:rFonts w:asciiTheme="minorHAnsi" w:hAnsiTheme="minorHAnsi" w:cstheme="minorHAnsi"/>
        </w:rPr>
        <w:t>Dans le même temps, des négociations menées entre les fédérations professionnelles du BTP et le gouvernement ont conduit à la conclusion d’un accord du 21 mars 2020 (ci-après l’« </w:t>
      </w:r>
      <w:r w:rsidRPr="00122D54">
        <w:rPr>
          <w:rFonts w:asciiTheme="minorHAnsi" w:hAnsiTheme="minorHAnsi" w:cstheme="minorHAnsi"/>
          <w:b/>
        </w:rPr>
        <w:t>Accord</w:t>
      </w:r>
      <w:r w:rsidRPr="00122D54">
        <w:rPr>
          <w:rFonts w:asciiTheme="minorHAnsi" w:hAnsiTheme="minorHAnsi" w:cstheme="minorHAnsi"/>
        </w:rPr>
        <w:t> ») actant les difficultés rencontrées et posant les principes devant permettre la continuité et/ou la reprise de l'activité.</w:t>
      </w:r>
    </w:p>
    <w:p w14:paraId="265C07FF" w14:textId="77777777" w:rsidR="00BB251E" w:rsidRPr="00122D54" w:rsidRDefault="00BB251E" w:rsidP="00BB251E">
      <w:pPr>
        <w:jc w:val="both"/>
        <w:rPr>
          <w:rFonts w:asciiTheme="minorHAnsi" w:hAnsiTheme="minorHAnsi" w:cstheme="minorHAnsi"/>
        </w:rPr>
      </w:pPr>
      <w:r w:rsidRPr="00122D54">
        <w:rPr>
          <w:rFonts w:asciiTheme="minorHAnsi" w:hAnsiTheme="minorHAnsi" w:cstheme="minorHAnsi"/>
        </w:rPr>
        <w:t xml:space="preserve">L’Accord rappelle que la protection des salariés est la </w:t>
      </w:r>
      <w:r w:rsidRPr="00122D54">
        <w:rPr>
          <w:rFonts w:asciiTheme="minorHAnsi" w:hAnsiTheme="minorHAnsi" w:cstheme="minorHAnsi"/>
          <w:i/>
          <w:iCs/>
        </w:rPr>
        <w:t xml:space="preserve">"priorité absolue (...) au cœur de toutes les préoccupations", </w:t>
      </w:r>
      <w:r w:rsidRPr="00122D54">
        <w:rPr>
          <w:rFonts w:asciiTheme="minorHAnsi" w:hAnsiTheme="minorHAnsi" w:cstheme="minorHAnsi"/>
        </w:rPr>
        <w:t>et que la sécurité du travail sur les chantiers</w:t>
      </w:r>
      <w:r w:rsidRPr="00122D54">
        <w:rPr>
          <w:rFonts w:asciiTheme="minorHAnsi" w:hAnsiTheme="minorHAnsi" w:cstheme="minorHAnsi"/>
          <w:i/>
          <w:iCs/>
        </w:rPr>
        <w:t xml:space="preserve"> "doit être assurée à travers des procédures adaptées, notamment pour respecter les gestes barrières et maintenir les distances entre salariés".</w:t>
      </w:r>
    </w:p>
    <w:p w14:paraId="33AB830D" w14:textId="77777777" w:rsidR="00BB251E" w:rsidRPr="00122D54" w:rsidRDefault="00BB251E" w:rsidP="00BB251E">
      <w:pPr>
        <w:jc w:val="both"/>
        <w:rPr>
          <w:rFonts w:asciiTheme="minorHAnsi" w:hAnsiTheme="minorHAnsi" w:cstheme="minorHAnsi"/>
        </w:rPr>
      </w:pPr>
      <w:r w:rsidRPr="00122D54">
        <w:rPr>
          <w:rFonts w:asciiTheme="minorHAnsi" w:hAnsiTheme="minorHAnsi" w:cstheme="minorHAnsi"/>
        </w:rPr>
        <w:t xml:space="preserve">En application de l’Accord, l’OPPBTP a publié le 2 avril 2020 un guide de préconisations (ci-après « le </w:t>
      </w:r>
      <w:r w:rsidRPr="00122D54">
        <w:rPr>
          <w:rFonts w:asciiTheme="minorHAnsi" w:hAnsiTheme="minorHAnsi" w:cstheme="minorHAnsi"/>
          <w:b/>
          <w:bCs/>
        </w:rPr>
        <w:t>Guide OPPBTP</w:t>
      </w:r>
      <w:r w:rsidRPr="00122D54">
        <w:rPr>
          <w:rFonts w:asciiTheme="minorHAnsi" w:hAnsiTheme="minorHAnsi" w:cstheme="minorHAnsi"/>
        </w:rPr>
        <w:t> ») élaboré avec les organisations professionnelles et validé par les ministères de la Transition écologique et solidaire, de la Ville et du Logement, du Travail et des Solidarités et de la Santé, pour préciser l’ensemble des mesures et des procédures applicables.</w:t>
      </w:r>
    </w:p>
    <w:p w14:paraId="55CF5327" w14:textId="77777777" w:rsidR="00BB251E" w:rsidRPr="00122D54" w:rsidRDefault="00BB251E" w:rsidP="00BB251E">
      <w:pPr>
        <w:jc w:val="both"/>
        <w:rPr>
          <w:rFonts w:asciiTheme="minorHAnsi" w:hAnsiTheme="minorHAnsi" w:cstheme="minorHAnsi"/>
          <w:i/>
          <w:iCs/>
        </w:rPr>
      </w:pPr>
      <w:r w:rsidRPr="00122D54">
        <w:rPr>
          <w:rFonts w:asciiTheme="minorHAnsi" w:hAnsiTheme="minorHAnsi" w:cstheme="minorHAnsi"/>
        </w:rPr>
        <w:t xml:space="preserve">Enfin, le gouvernement a invité les donneurs d’ordre et entreprises </w:t>
      </w:r>
      <w:r w:rsidRPr="00122D54">
        <w:rPr>
          <w:rFonts w:asciiTheme="minorHAnsi" w:hAnsiTheme="minorHAnsi" w:cstheme="minorHAnsi"/>
          <w:i/>
          <w:iCs/>
        </w:rPr>
        <w:t>"à ne pas rechercher la responsabilité contractuelle des entreprises, de leurs sous-traitants ou fournisseurs qui, lorsque les conditions d’exécution ne permettaient plus de garantir la santé et la sécurité de leurs salariés, ont dû suspendre leur activité".</w:t>
      </w:r>
    </w:p>
    <w:p w14:paraId="0DB5D94F" w14:textId="77777777" w:rsidR="00BB251E" w:rsidRPr="00122D54" w:rsidRDefault="00BB251E" w:rsidP="00BB251E">
      <w:pPr>
        <w:jc w:val="both"/>
        <w:rPr>
          <w:rFonts w:asciiTheme="minorHAnsi" w:hAnsiTheme="minorHAnsi" w:cstheme="minorHAnsi"/>
        </w:rPr>
      </w:pPr>
    </w:p>
    <w:p w14:paraId="145E72E2" w14:textId="77777777" w:rsidR="00BB251E" w:rsidRPr="00122D54" w:rsidRDefault="00BB251E" w:rsidP="00BB251E">
      <w:pPr>
        <w:jc w:val="both"/>
        <w:rPr>
          <w:rFonts w:asciiTheme="minorHAnsi" w:hAnsiTheme="minorHAnsi" w:cstheme="minorHAnsi"/>
        </w:rPr>
      </w:pPr>
      <w:r w:rsidRPr="00122D54">
        <w:rPr>
          <w:rFonts w:asciiTheme="minorHAnsi" w:hAnsiTheme="minorHAnsi" w:cstheme="minorHAnsi"/>
        </w:rPr>
        <w:t>Le Guide OPPBTP exige une formalisation de la mise en place de ces préconisations.</w:t>
      </w:r>
    </w:p>
    <w:p w14:paraId="066A1103" w14:textId="77777777" w:rsidR="00BB251E" w:rsidRPr="00122D54" w:rsidRDefault="00BB251E" w:rsidP="00BB251E">
      <w:pPr>
        <w:tabs>
          <w:tab w:val="left" w:pos="8661"/>
        </w:tabs>
        <w:jc w:val="both"/>
        <w:rPr>
          <w:rFonts w:asciiTheme="minorHAnsi" w:hAnsiTheme="minorHAnsi" w:cstheme="minorHAnsi"/>
        </w:rPr>
      </w:pPr>
    </w:p>
    <w:p w14:paraId="2E1B4974" w14:textId="77777777" w:rsidR="00BB251E" w:rsidRPr="00122D54" w:rsidRDefault="00BB251E" w:rsidP="00BB251E">
      <w:pPr>
        <w:jc w:val="both"/>
        <w:rPr>
          <w:rFonts w:asciiTheme="minorHAnsi" w:hAnsiTheme="minorHAnsi" w:cstheme="minorHAnsi"/>
        </w:rPr>
      </w:pPr>
      <w:r w:rsidRPr="00122D54">
        <w:rPr>
          <w:rFonts w:asciiTheme="minorHAnsi" w:hAnsiTheme="minorHAnsi" w:cstheme="minorHAnsi"/>
        </w:rPr>
        <w:t>C’est dans ces conditions que les Parties soussignées ont convenu du présent protocole de reprise (le « </w:t>
      </w:r>
      <w:r w:rsidRPr="00122D54">
        <w:rPr>
          <w:rFonts w:asciiTheme="minorHAnsi" w:hAnsiTheme="minorHAnsi" w:cstheme="minorHAnsi"/>
          <w:b/>
        </w:rPr>
        <w:t>Protocole</w:t>
      </w:r>
      <w:r w:rsidRPr="00122D54">
        <w:rPr>
          <w:rFonts w:asciiTheme="minorHAnsi" w:hAnsiTheme="minorHAnsi" w:cstheme="minorHAnsi"/>
        </w:rPr>
        <w:t> »), dont ce préambule fait partie intégrante.</w:t>
      </w:r>
    </w:p>
    <w:p w14:paraId="67DDA4CE" w14:textId="77777777" w:rsidR="00BB251E" w:rsidRPr="00122D54" w:rsidRDefault="00BB251E" w:rsidP="00BB251E">
      <w:pPr>
        <w:jc w:val="both"/>
        <w:rPr>
          <w:rFonts w:asciiTheme="minorHAnsi" w:hAnsiTheme="minorHAnsi" w:cstheme="minorHAnsi"/>
        </w:rPr>
      </w:pPr>
    </w:p>
    <w:p w14:paraId="3D085F7C" w14:textId="77777777" w:rsidR="00BB251E" w:rsidRPr="00122D54" w:rsidRDefault="00BB251E" w:rsidP="00BB251E">
      <w:pPr>
        <w:jc w:val="both"/>
        <w:rPr>
          <w:rFonts w:asciiTheme="minorHAnsi" w:hAnsiTheme="minorHAnsi" w:cstheme="minorHAnsi"/>
        </w:rPr>
      </w:pPr>
    </w:p>
    <w:p w14:paraId="0543DA10" w14:textId="77777777" w:rsidR="00BB251E" w:rsidRPr="00122D54" w:rsidRDefault="00BB251E" w:rsidP="00BB251E">
      <w:pPr>
        <w:jc w:val="both"/>
        <w:rPr>
          <w:rFonts w:asciiTheme="minorHAnsi" w:hAnsiTheme="minorHAnsi" w:cstheme="minorHAnsi"/>
          <w:b/>
          <w:bCs/>
        </w:rPr>
      </w:pPr>
      <w:r w:rsidRPr="00122D54">
        <w:rPr>
          <w:rFonts w:asciiTheme="minorHAnsi" w:hAnsiTheme="minorHAnsi" w:cstheme="minorHAnsi"/>
          <w:b/>
          <w:bCs/>
        </w:rPr>
        <w:t>IL A ÉTÉ CONVENU CE QUI SUIT :</w:t>
      </w:r>
    </w:p>
    <w:p w14:paraId="17114C44" w14:textId="77777777" w:rsidR="00BB251E" w:rsidRPr="00122D54" w:rsidRDefault="00BB251E" w:rsidP="00BB251E">
      <w:pPr>
        <w:pStyle w:val="Titre1"/>
        <w:rPr>
          <w:rFonts w:asciiTheme="minorHAnsi" w:hAnsiTheme="minorHAnsi" w:cstheme="minorHAnsi"/>
        </w:rPr>
      </w:pPr>
      <w:r w:rsidRPr="00122D54">
        <w:rPr>
          <w:rFonts w:asciiTheme="minorHAnsi" w:hAnsiTheme="minorHAnsi" w:cstheme="minorHAnsi"/>
        </w:rPr>
        <w:t>OBJET</w:t>
      </w:r>
    </w:p>
    <w:p w14:paraId="0DA785E0" w14:textId="77777777" w:rsidR="00BB251E" w:rsidRPr="00122D54" w:rsidRDefault="00BB251E" w:rsidP="00BB251E">
      <w:pPr>
        <w:jc w:val="both"/>
        <w:rPr>
          <w:rFonts w:asciiTheme="minorHAnsi" w:hAnsiTheme="minorHAnsi" w:cstheme="minorHAnsi"/>
        </w:rPr>
      </w:pPr>
      <w:r w:rsidRPr="00122D54">
        <w:rPr>
          <w:rFonts w:asciiTheme="minorHAnsi" w:hAnsiTheme="minorHAnsi" w:cstheme="minorHAnsi"/>
        </w:rPr>
        <w:t>Le présent Protocole a pour objet de convenir des conditions de reprise de l’exécution des travaux du Marché et de leur suivi, jusqu’à ce que soit possible leur formalisation dans un avenant.</w:t>
      </w:r>
    </w:p>
    <w:p w14:paraId="6EC7AC8D" w14:textId="77777777" w:rsidR="00BB251E" w:rsidRPr="00122D54" w:rsidRDefault="00BB251E" w:rsidP="00BB251E">
      <w:pPr>
        <w:pStyle w:val="Titre1"/>
        <w:rPr>
          <w:rFonts w:asciiTheme="minorHAnsi" w:hAnsiTheme="minorHAnsi" w:cstheme="minorHAnsi"/>
        </w:rPr>
      </w:pPr>
      <w:r w:rsidRPr="00122D54">
        <w:rPr>
          <w:rFonts w:asciiTheme="minorHAnsi" w:hAnsiTheme="minorHAnsi" w:cstheme="minorHAnsi"/>
        </w:rPr>
        <w:t>SÉcuritÉ et Protection de la SantÉ sur le chantier</w:t>
      </w:r>
    </w:p>
    <w:p w14:paraId="7D3396AE" w14:textId="77777777" w:rsidR="00BB251E" w:rsidRPr="00122D54" w:rsidRDefault="00BB251E" w:rsidP="00BB251E">
      <w:pPr>
        <w:jc w:val="both"/>
        <w:rPr>
          <w:rFonts w:asciiTheme="minorHAnsi" w:hAnsiTheme="minorHAnsi" w:cstheme="minorHAnsi"/>
        </w:rPr>
      </w:pPr>
      <w:r w:rsidRPr="00122D54">
        <w:rPr>
          <w:rFonts w:asciiTheme="minorHAnsi" w:hAnsiTheme="minorHAnsi" w:cstheme="minorHAnsi"/>
        </w:rPr>
        <w:t>Les Parties conviennent que les travaux du Marché peuvent reprendre dès lors que les mesures adaptées à l’opération pour assurer la sécurité et la protection de la santé</w:t>
      </w:r>
      <w:r w:rsidRPr="00122D54">
        <w:rPr>
          <w:rFonts w:asciiTheme="minorHAnsi" w:hAnsiTheme="minorHAnsi" w:cstheme="minorHAnsi"/>
          <w:b/>
          <w:bCs/>
        </w:rPr>
        <w:t xml:space="preserve"> </w:t>
      </w:r>
      <w:r w:rsidRPr="00122D54">
        <w:rPr>
          <w:rFonts w:asciiTheme="minorHAnsi" w:hAnsiTheme="minorHAnsi" w:cstheme="minorHAnsi"/>
        </w:rPr>
        <w:t>de l’ensemble des intervenants sur celle-ci sont mises en place.</w:t>
      </w:r>
    </w:p>
    <w:p w14:paraId="3F287BFC" w14:textId="77777777" w:rsidR="00BB251E" w:rsidRPr="00122D54" w:rsidRDefault="00BB251E" w:rsidP="00BB251E">
      <w:pPr>
        <w:jc w:val="both"/>
        <w:rPr>
          <w:rFonts w:asciiTheme="minorHAnsi" w:hAnsiTheme="minorHAnsi" w:cstheme="minorHAnsi"/>
        </w:rPr>
      </w:pPr>
    </w:p>
    <w:p w14:paraId="0F29463F" w14:textId="77777777" w:rsidR="00BB251E" w:rsidRPr="00122D54" w:rsidRDefault="00BB251E" w:rsidP="00BB251E">
      <w:pPr>
        <w:jc w:val="both"/>
        <w:rPr>
          <w:rFonts w:asciiTheme="minorHAnsi" w:hAnsiTheme="minorHAnsi" w:cstheme="minorHAnsi"/>
        </w:rPr>
      </w:pPr>
      <w:r w:rsidRPr="00122D54">
        <w:rPr>
          <w:rFonts w:asciiTheme="minorHAnsi" w:hAnsiTheme="minorHAnsi" w:cstheme="minorHAnsi"/>
        </w:rPr>
        <w:t>Ces mesures, déterminées par les Parties à la suite d’une série de réunions organisées à la diligence du Maître d’Ouvrage afin de reprendre les travaux dans les meilleurs délais, et fixées conjointement avec la maîtrise d’œuvre, le coordonnateur SPS et les autres intervenants sur le chantier en application du Guide OPPBTP, sont détaillées en Annexe 1.</w:t>
      </w:r>
    </w:p>
    <w:p w14:paraId="3D788E3E" w14:textId="77777777" w:rsidR="00BB251E" w:rsidRPr="00122D54" w:rsidRDefault="00BB251E" w:rsidP="00BB251E">
      <w:pPr>
        <w:jc w:val="both"/>
        <w:rPr>
          <w:rFonts w:asciiTheme="minorHAnsi" w:hAnsiTheme="minorHAnsi" w:cstheme="minorHAnsi"/>
        </w:rPr>
      </w:pPr>
    </w:p>
    <w:p w14:paraId="54F5B292" w14:textId="77777777" w:rsidR="00BB251E" w:rsidRPr="00122D54" w:rsidRDefault="00BB251E" w:rsidP="00BB251E">
      <w:pPr>
        <w:jc w:val="both"/>
        <w:rPr>
          <w:rFonts w:asciiTheme="minorHAnsi" w:hAnsiTheme="minorHAnsi" w:cstheme="minorHAnsi"/>
        </w:rPr>
      </w:pPr>
      <w:r w:rsidRPr="00122D54">
        <w:rPr>
          <w:rFonts w:asciiTheme="minorHAnsi" w:hAnsiTheme="minorHAnsi" w:cstheme="minorHAnsi"/>
        </w:rPr>
        <w:t>Ces mesures seront intégrées par le coordonnateur SPS dans le Plan Général de Coordination, qui sera ainsi actualisé. Les PPSPS des intervenants sur le chantier seront ensuite eux-mêmes actualisés en conséquence.</w:t>
      </w:r>
    </w:p>
    <w:p w14:paraId="70D060E7" w14:textId="77777777" w:rsidR="00BB251E" w:rsidRPr="00122D54" w:rsidRDefault="00BB251E" w:rsidP="00BB251E">
      <w:pPr>
        <w:pStyle w:val="Titre1"/>
        <w:rPr>
          <w:rFonts w:asciiTheme="minorHAnsi" w:hAnsiTheme="minorHAnsi" w:cstheme="minorHAnsi"/>
        </w:rPr>
      </w:pPr>
      <w:r w:rsidRPr="00122D54">
        <w:rPr>
          <w:rFonts w:asciiTheme="minorHAnsi" w:hAnsiTheme="minorHAnsi" w:cstheme="minorHAnsi"/>
        </w:rPr>
        <w:t>PLANNING DE L’OPÉRATION</w:t>
      </w:r>
    </w:p>
    <w:p w14:paraId="05228445" w14:textId="77777777" w:rsidR="00BB251E" w:rsidRPr="00122D54" w:rsidRDefault="00BB251E" w:rsidP="00BB251E">
      <w:pPr>
        <w:jc w:val="both"/>
        <w:rPr>
          <w:rFonts w:asciiTheme="minorHAnsi" w:hAnsiTheme="minorHAnsi" w:cstheme="minorHAnsi"/>
        </w:rPr>
      </w:pPr>
      <w:r w:rsidRPr="00122D54">
        <w:rPr>
          <w:rFonts w:asciiTheme="minorHAnsi" w:hAnsiTheme="minorHAnsi" w:cstheme="minorHAnsi"/>
        </w:rPr>
        <w:t xml:space="preserve">Les Parties conviennent d’une période de suspension de l’opération de </w:t>
      </w:r>
      <w:r w:rsidRPr="00122D54">
        <w:rPr>
          <w:rFonts w:asciiTheme="minorHAnsi" w:hAnsiTheme="minorHAnsi" w:cstheme="minorHAnsi"/>
          <w:b/>
          <w:bCs/>
          <w:i/>
          <w:iCs/>
        </w:rPr>
        <w:t>[XX]</w:t>
      </w:r>
      <w:r w:rsidRPr="00122D54">
        <w:rPr>
          <w:rFonts w:asciiTheme="minorHAnsi" w:hAnsiTheme="minorHAnsi" w:cstheme="minorHAnsi"/>
        </w:rPr>
        <w:t xml:space="preserve"> jours, du </w:t>
      </w:r>
      <w:r w:rsidRPr="00122D54">
        <w:rPr>
          <w:rFonts w:asciiTheme="minorHAnsi" w:hAnsiTheme="minorHAnsi" w:cstheme="minorHAnsi"/>
          <w:b/>
          <w:bCs/>
          <w:i/>
          <w:iCs/>
        </w:rPr>
        <w:t>[XX/03/2020]</w:t>
      </w:r>
      <w:r w:rsidRPr="00122D54">
        <w:rPr>
          <w:rFonts w:asciiTheme="minorHAnsi" w:hAnsiTheme="minorHAnsi" w:cstheme="minorHAnsi"/>
        </w:rPr>
        <w:t xml:space="preserve"> </w:t>
      </w:r>
      <w:r w:rsidRPr="00122D54">
        <w:rPr>
          <w:rFonts w:asciiTheme="minorHAnsi" w:hAnsiTheme="minorHAnsi" w:cstheme="minorHAnsi"/>
          <w:i/>
          <w:iCs/>
        </w:rPr>
        <w:t>(date à laquelle la Société a été confrontée à l’impossibilité de poursuivre les travaux)</w:t>
      </w:r>
      <w:r w:rsidRPr="00122D54">
        <w:rPr>
          <w:rFonts w:asciiTheme="minorHAnsi" w:hAnsiTheme="minorHAnsi" w:cstheme="minorHAnsi"/>
        </w:rPr>
        <w:t xml:space="preserve"> au </w:t>
      </w:r>
      <w:r w:rsidRPr="00122D54">
        <w:rPr>
          <w:rFonts w:asciiTheme="minorHAnsi" w:hAnsiTheme="minorHAnsi" w:cstheme="minorHAnsi"/>
          <w:b/>
          <w:bCs/>
          <w:i/>
          <w:iCs/>
        </w:rPr>
        <w:t>[XX/04/20]</w:t>
      </w:r>
      <w:r w:rsidRPr="00122D54">
        <w:rPr>
          <w:rFonts w:asciiTheme="minorHAnsi" w:hAnsiTheme="minorHAnsi" w:cstheme="minorHAnsi"/>
        </w:rPr>
        <w:t xml:space="preserve"> </w:t>
      </w:r>
      <w:r w:rsidRPr="00122D54">
        <w:rPr>
          <w:rFonts w:asciiTheme="minorHAnsi" w:hAnsiTheme="minorHAnsi" w:cstheme="minorHAnsi"/>
          <w:i/>
          <w:iCs/>
        </w:rPr>
        <w:t>(date de reprise des travaux telle que convenue lors des réunions visées à l’article 2, après accord des Parties sur les conditions afférentes à cette reprise)</w:t>
      </w:r>
      <w:r w:rsidRPr="00122D54">
        <w:rPr>
          <w:rFonts w:asciiTheme="minorHAnsi" w:hAnsiTheme="minorHAnsi" w:cstheme="minorHAnsi"/>
        </w:rPr>
        <w:t>.</w:t>
      </w:r>
    </w:p>
    <w:p w14:paraId="1838F268" w14:textId="77777777" w:rsidR="00BB251E" w:rsidRPr="00122D54" w:rsidRDefault="00BB251E" w:rsidP="00BB251E">
      <w:pPr>
        <w:jc w:val="both"/>
        <w:rPr>
          <w:rFonts w:asciiTheme="minorHAnsi" w:hAnsiTheme="minorHAnsi" w:cstheme="minorHAnsi"/>
        </w:rPr>
      </w:pPr>
    </w:p>
    <w:p w14:paraId="5BB8411E" w14:textId="77777777" w:rsidR="00BB251E" w:rsidRPr="00122D54" w:rsidRDefault="00BB251E" w:rsidP="00BB251E">
      <w:pPr>
        <w:jc w:val="both"/>
        <w:rPr>
          <w:rFonts w:asciiTheme="minorHAnsi" w:hAnsiTheme="minorHAnsi" w:cstheme="minorHAnsi"/>
        </w:rPr>
      </w:pPr>
      <w:r w:rsidRPr="00122D54">
        <w:rPr>
          <w:rFonts w:asciiTheme="minorHAnsi" w:hAnsiTheme="minorHAnsi" w:cstheme="minorHAnsi"/>
        </w:rPr>
        <w:t>Les Parties conviennent que le calendrier général d’exécution des travaux sera recalé.</w:t>
      </w:r>
    </w:p>
    <w:p w14:paraId="46A704B9" w14:textId="77777777" w:rsidR="00BB251E" w:rsidRPr="00122D54" w:rsidRDefault="00BB251E" w:rsidP="00BB251E">
      <w:pPr>
        <w:jc w:val="both"/>
        <w:rPr>
          <w:rFonts w:asciiTheme="minorHAnsi" w:hAnsiTheme="minorHAnsi" w:cstheme="minorHAnsi"/>
        </w:rPr>
      </w:pPr>
      <w:r w:rsidRPr="00122D54">
        <w:rPr>
          <w:rFonts w:asciiTheme="minorHAnsi" w:hAnsiTheme="minorHAnsi" w:cstheme="minorHAnsi"/>
        </w:rPr>
        <w:t xml:space="preserve">La Société proposera à cet effet au Maître d’Ouvrage, sous un délai de </w:t>
      </w:r>
      <w:r w:rsidRPr="00122D54">
        <w:rPr>
          <w:rFonts w:asciiTheme="minorHAnsi" w:hAnsiTheme="minorHAnsi" w:cstheme="minorHAnsi"/>
          <w:b/>
          <w:bCs/>
          <w:i/>
          <w:iCs/>
        </w:rPr>
        <w:t>[XXX]</w:t>
      </w:r>
      <w:r w:rsidRPr="00122D54">
        <w:rPr>
          <w:rFonts w:asciiTheme="minorHAnsi" w:hAnsiTheme="minorHAnsi" w:cstheme="minorHAnsi"/>
        </w:rPr>
        <w:t xml:space="preserve"> à compter de de la signature du présent Protocole, un planning qui tiendra compte :</w:t>
      </w:r>
    </w:p>
    <w:p w14:paraId="106D0B78" w14:textId="77777777" w:rsidR="00BB251E" w:rsidRPr="00122D54" w:rsidRDefault="00BB251E" w:rsidP="00BB251E">
      <w:pPr>
        <w:pStyle w:val="Paragraphedeliste"/>
        <w:numPr>
          <w:ilvl w:val="0"/>
          <w:numId w:val="9"/>
        </w:numPr>
        <w:spacing w:after="0" w:line="240" w:lineRule="auto"/>
        <w:jc w:val="both"/>
        <w:rPr>
          <w:rFonts w:cstheme="minorHAnsi"/>
        </w:rPr>
      </w:pPr>
      <w:r w:rsidRPr="00122D54">
        <w:rPr>
          <w:rFonts w:cstheme="minorHAnsi"/>
        </w:rPr>
        <w:t>de la période de suspension,</w:t>
      </w:r>
    </w:p>
    <w:p w14:paraId="425DC167" w14:textId="77777777" w:rsidR="00BB251E" w:rsidRPr="00122D54" w:rsidRDefault="00BB251E" w:rsidP="00BB251E">
      <w:pPr>
        <w:pStyle w:val="Paragraphedeliste"/>
        <w:numPr>
          <w:ilvl w:val="0"/>
          <w:numId w:val="9"/>
        </w:numPr>
        <w:spacing w:after="0" w:line="240" w:lineRule="auto"/>
        <w:jc w:val="both"/>
        <w:rPr>
          <w:rFonts w:cstheme="minorHAnsi"/>
        </w:rPr>
      </w:pPr>
      <w:r w:rsidRPr="00122D54">
        <w:rPr>
          <w:rFonts w:cstheme="minorHAnsi"/>
        </w:rPr>
        <w:t>des incidences en termes de productivité des mesures visées à l’article 2, sur la période d’application desdites mesures,</w:t>
      </w:r>
    </w:p>
    <w:p w14:paraId="21D158D9" w14:textId="77777777" w:rsidR="00BB251E" w:rsidRPr="00122D54" w:rsidRDefault="00BB251E" w:rsidP="00BB251E">
      <w:pPr>
        <w:pStyle w:val="Paragraphedeliste"/>
        <w:numPr>
          <w:ilvl w:val="0"/>
          <w:numId w:val="9"/>
        </w:numPr>
        <w:spacing w:after="0" w:line="240" w:lineRule="auto"/>
        <w:jc w:val="both"/>
        <w:rPr>
          <w:rFonts w:cstheme="minorHAnsi"/>
        </w:rPr>
      </w:pPr>
      <w:r w:rsidRPr="00122D54">
        <w:rPr>
          <w:rFonts w:cstheme="minorHAnsi"/>
        </w:rPr>
        <w:t>et des éventuelles mesures d’accélération à convenir.</w:t>
      </w:r>
    </w:p>
    <w:p w14:paraId="774A3ACB" w14:textId="77777777" w:rsidR="00BB251E" w:rsidRPr="00122D54" w:rsidRDefault="00BB251E" w:rsidP="00BB251E">
      <w:pPr>
        <w:jc w:val="both"/>
        <w:rPr>
          <w:rFonts w:asciiTheme="minorHAnsi" w:hAnsiTheme="minorHAnsi" w:cstheme="minorHAnsi"/>
        </w:rPr>
      </w:pPr>
    </w:p>
    <w:p w14:paraId="75BE8643" w14:textId="77777777" w:rsidR="00BB251E" w:rsidRPr="00122D54" w:rsidRDefault="00BB251E" w:rsidP="00BB251E">
      <w:pPr>
        <w:jc w:val="both"/>
        <w:rPr>
          <w:rFonts w:asciiTheme="minorHAnsi" w:hAnsiTheme="minorHAnsi" w:cstheme="minorHAnsi"/>
        </w:rPr>
      </w:pPr>
      <w:r w:rsidRPr="00122D54">
        <w:rPr>
          <w:rFonts w:asciiTheme="minorHAnsi" w:hAnsiTheme="minorHAnsi" w:cstheme="minorHAnsi"/>
        </w:rPr>
        <w:t>Les Parties conviennent que ce planning sera à ajuster lorsque la durée réelle d’application des mesures visées à l’article 2 sera connue.</w:t>
      </w:r>
    </w:p>
    <w:p w14:paraId="2931B6BF" w14:textId="77777777" w:rsidR="00BB251E" w:rsidRPr="00122D54" w:rsidRDefault="00BB251E" w:rsidP="00BB251E">
      <w:pPr>
        <w:pStyle w:val="Titre1"/>
        <w:rPr>
          <w:rFonts w:asciiTheme="minorHAnsi" w:hAnsiTheme="minorHAnsi" w:cstheme="minorHAnsi"/>
        </w:rPr>
      </w:pPr>
      <w:r w:rsidRPr="00122D54">
        <w:rPr>
          <w:rFonts w:asciiTheme="minorHAnsi" w:hAnsiTheme="minorHAnsi" w:cstheme="minorHAnsi"/>
        </w:rPr>
        <w:t> CONSÉQUENCES financiÈrES</w:t>
      </w:r>
    </w:p>
    <w:p w14:paraId="733C8158" w14:textId="77777777" w:rsidR="00BB251E" w:rsidRPr="00122D54" w:rsidRDefault="00BB251E" w:rsidP="00BB251E">
      <w:pPr>
        <w:jc w:val="both"/>
        <w:rPr>
          <w:rFonts w:asciiTheme="minorHAnsi" w:hAnsiTheme="minorHAnsi" w:cstheme="minorHAnsi"/>
        </w:rPr>
      </w:pPr>
      <w:r w:rsidRPr="00122D54">
        <w:rPr>
          <w:rFonts w:asciiTheme="minorHAnsi" w:hAnsiTheme="minorHAnsi" w:cstheme="minorHAnsi"/>
        </w:rPr>
        <w:t>Les Parties conviennent que ces modifications du planning sont directement et exclusivement imputables à la situation sanitaire résultant de l'épidémie de Covid-19, événement qui était totalement imprévisible à la date de conclusion du Marché, occasionnant un bouleversement profond de l’économie nationale et donc du présent Marché, dont il serait inéquitable que la Société supporte seule les conséquences financières.</w:t>
      </w:r>
    </w:p>
    <w:p w14:paraId="733B0381" w14:textId="77777777" w:rsidR="00BB251E" w:rsidRPr="00122D54" w:rsidRDefault="00BB251E" w:rsidP="00BB251E">
      <w:pPr>
        <w:jc w:val="both"/>
        <w:rPr>
          <w:rFonts w:asciiTheme="minorHAnsi" w:hAnsiTheme="minorHAnsi" w:cstheme="minorHAnsi"/>
        </w:rPr>
      </w:pPr>
    </w:p>
    <w:p w14:paraId="3A02537D" w14:textId="77777777" w:rsidR="00BB251E" w:rsidRPr="00122D54" w:rsidRDefault="00BB251E" w:rsidP="00BB251E">
      <w:pPr>
        <w:jc w:val="both"/>
        <w:rPr>
          <w:rFonts w:asciiTheme="minorHAnsi" w:hAnsiTheme="minorHAnsi" w:cstheme="minorHAnsi"/>
        </w:rPr>
      </w:pPr>
      <w:r w:rsidRPr="00122D54">
        <w:rPr>
          <w:rFonts w:asciiTheme="minorHAnsi" w:hAnsiTheme="minorHAnsi" w:cstheme="minorHAnsi"/>
        </w:rPr>
        <w:t>Les Parties conviennent d’analyser de bonne foi ces surcoûts dans le cadre des dispositions de l’article 5 ci-dessous, et suivant la liste de l’annexe 2 au présent Protocole.</w:t>
      </w:r>
    </w:p>
    <w:p w14:paraId="0649C458" w14:textId="77777777" w:rsidR="00BB251E" w:rsidRPr="00122D54" w:rsidRDefault="00BB251E" w:rsidP="00BB251E">
      <w:pPr>
        <w:jc w:val="both"/>
        <w:rPr>
          <w:rFonts w:asciiTheme="minorHAnsi" w:hAnsiTheme="minorHAnsi" w:cstheme="minorHAnsi"/>
        </w:rPr>
      </w:pPr>
    </w:p>
    <w:p w14:paraId="56FE26F4" w14:textId="77777777" w:rsidR="00BB251E" w:rsidRPr="00122D54" w:rsidRDefault="00BB251E" w:rsidP="00BB251E">
      <w:pPr>
        <w:jc w:val="both"/>
        <w:rPr>
          <w:rFonts w:asciiTheme="minorHAnsi" w:hAnsiTheme="minorHAnsi" w:cstheme="minorHAnsi"/>
        </w:rPr>
      </w:pPr>
      <w:r w:rsidRPr="00122D54">
        <w:rPr>
          <w:rFonts w:asciiTheme="minorHAnsi" w:hAnsiTheme="minorHAnsi" w:cstheme="minorHAnsi"/>
          <w:b/>
          <w:bCs/>
          <w:i/>
          <w:iCs/>
        </w:rPr>
        <w:t>[si concerné]</w:t>
      </w:r>
      <w:r w:rsidRPr="00122D54">
        <w:rPr>
          <w:rFonts w:asciiTheme="minorHAnsi" w:hAnsiTheme="minorHAnsi" w:cstheme="minorHAnsi"/>
        </w:rPr>
        <w:t xml:space="preserve"> Les Parties conviennent expressément d’écarter, pour cette analyse, toute référence à une éventuelle dérogation du Marché aux dispositions de l’article 1195 du code civil.</w:t>
      </w:r>
    </w:p>
    <w:p w14:paraId="6F294750" w14:textId="77777777" w:rsidR="00BB251E" w:rsidRPr="00122D54" w:rsidRDefault="00BB251E" w:rsidP="00BB251E">
      <w:pPr>
        <w:pStyle w:val="Titre1"/>
        <w:rPr>
          <w:rFonts w:asciiTheme="minorHAnsi" w:hAnsiTheme="minorHAnsi" w:cstheme="minorHAnsi"/>
        </w:rPr>
      </w:pPr>
      <w:r w:rsidRPr="00122D54">
        <w:rPr>
          <w:rFonts w:asciiTheme="minorHAnsi" w:hAnsiTheme="minorHAnsi" w:cstheme="minorHAnsi"/>
        </w:rPr>
        <w:t>Clause de rencontre</w:t>
      </w:r>
    </w:p>
    <w:p w14:paraId="1DA1BEC0" w14:textId="77777777" w:rsidR="00BB251E" w:rsidRPr="00122D54" w:rsidRDefault="00BB251E" w:rsidP="00BB251E">
      <w:pPr>
        <w:jc w:val="both"/>
        <w:rPr>
          <w:rFonts w:asciiTheme="minorHAnsi" w:hAnsiTheme="minorHAnsi" w:cstheme="minorHAnsi"/>
        </w:rPr>
      </w:pPr>
      <w:r w:rsidRPr="00122D54">
        <w:rPr>
          <w:rFonts w:asciiTheme="minorHAnsi" w:hAnsiTheme="minorHAnsi" w:cstheme="minorHAnsi"/>
        </w:rPr>
        <w:t>Les Parties conviennent qu’à la date de conclusion du présent Protocole, et nonobstant les dispositions ci-dessus et les annexes au présent Protocole, les conséquences sur le Marché de la crise sanitaire résultant de l'épidémie de Covid-19 ne peuvent être définitivement mesurées.</w:t>
      </w:r>
    </w:p>
    <w:p w14:paraId="611F9ACC" w14:textId="77777777" w:rsidR="00BB251E" w:rsidRPr="00122D54" w:rsidRDefault="00BB251E" w:rsidP="00BB251E">
      <w:pPr>
        <w:jc w:val="both"/>
        <w:rPr>
          <w:rFonts w:asciiTheme="minorHAnsi" w:hAnsiTheme="minorHAnsi" w:cstheme="minorHAnsi"/>
        </w:rPr>
      </w:pPr>
    </w:p>
    <w:p w14:paraId="14827627" w14:textId="77777777" w:rsidR="00BB251E" w:rsidRPr="00122D54" w:rsidRDefault="00BB251E" w:rsidP="00BB251E">
      <w:pPr>
        <w:keepNext/>
        <w:jc w:val="both"/>
        <w:rPr>
          <w:rFonts w:asciiTheme="minorHAnsi" w:hAnsiTheme="minorHAnsi" w:cstheme="minorHAnsi"/>
        </w:rPr>
      </w:pPr>
      <w:r w:rsidRPr="00122D54">
        <w:rPr>
          <w:rFonts w:asciiTheme="minorHAnsi" w:hAnsiTheme="minorHAnsi" w:cstheme="minorHAnsi"/>
        </w:rPr>
        <w:t>En effet, ces conséquences dépendent notamment :</w:t>
      </w:r>
    </w:p>
    <w:p w14:paraId="6BFB7B2D" w14:textId="77777777" w:rsidR="00BB251E" w:rsidRPr="00122D54" w:rsidRDefault="00BB251E" w:rsidP="00BB251E">
      <w:pPr>
        <w:pStyle w:val="Paragraphedeliste"/>
        <w:numPr>
          <w:ilvl w:val="0"/>
          <w:numId w:val="11"/>
        </w:numPr>
        <w:spacing w:after="0" w:line="240" w:lineRule="auto"/>
        <w:ind w:left="567" w:hanging="283"/>
        <w:jc w:val="both"/>
        <w:rPr>
          <w:rFonts w:cstheme="minorHAnsi"/>
        </w:rPr>
      </w:pPr>
      <w:r w:rsidRPr="00122D54">
        <w:rPr>
          <w:rFonts w:cstheme="minorHAnsi"/>
        </w:rPr>
        <w:t>de l’impact effectif des mesures de confinement décidées par l’Etat français, et de toutes autres mesures contraignantes qui viendraient à être édictées dans le cadre de la gestion de cette crise,</w:t>
      </w:r>
    </w:p>
    <w:p w14:paraId="29B1525A" w14:textId="77777777" w:rsidR="00BB251E" w:rsidRPr="00122D54" w:rsidRDefault="00BB251E" w:rsidP="00BB251E">
      <w:pPr>
        <w:pStyle w:val="Paragraphedeliste"/>
        <w:numPr>
          <w:ilvl w:val="0"/>
          <w:numId w:val="11"/>
        </w:numPr>
        <w:spacing w:after="0" w:line="240" w:lineRule="auto"/>
        <w:ind w:left="567" w:hanging="283"/>
        <w:jc w:val="both"/>
        <w:rPr>
          <w:rFonts w:cstheme="minorHAnsi"/>
        </w:rPr>
      </w:pPr>
      <w:r w:rsidRPr="00122D54">
        <w:rPr>
          <w:rFonts w:cstheme="minorHAnsi"/>
        </w:rPr>
        <w:t>de la durée d’application de ces mesures,</w:t>
      </w:r>
    </w:p>
    <w:p w14:paraId="12B11AD8" w14:textId="77777777" w:rsidR="00BB251E" w:rsidRPr="00122D54" w:rsidRDefault="00BB251E" w:rsidP="00BB251E">
      <w:pPr>
        <w:pStyle w:val="Paragraphedeliste"/>
        <w:numPr>
          <w:ilvl w:val="0"/>
          <w:numId w:val="11"/>
        </w:numPr>
        <w:spacing w:after="0" w:line="240" w:lineRule="auto"/>
        <w:ind w:left="567" w:hanging="283"/>
        <w:jc w:val="both"/>
        <w:rPr>
          <w:rFonts w:cstheme="minorHAnsi"/>
        </w:rPr>
      </w:pPr>
      <w:r w:rsidRPr="00122D54">
        <w:rPr>
          <w:rFonts w:cstheme="minorHAnsi"/>
        </w:rPr>
        <w:t>de la situation économique mondiale qui affecte les approvisionnements auprès d’entreprises françaises et étrangères, qu’il s’agisse de sous-traitants, de prestataires ou de fournisseurs.</w:t>
      </w:r>
    </w:p>
    <w:p w14:paraId="2F5F8345" w14:textId="77777777" w:rsidR="00BB251E" w:rsidRPr="00122D54" w:rsidRDefault="00BB251E" w:rsidP="00BB251E">
      <w:pPr>
        <w:jc w:val="both"/>
        <w:rPr>
          <w:rFonts w:asciiTheme="minorHAnsi" w:hAnsiTheme="minorHAnsi" w:cstheme="minorHAnsi"/>
        </w:rPr>
      </w:pPr>
    </w:p>
    <w:p w14:paraId="7E3BCDBF" w14:textId="77777777" w:rsidR="00BB251E" w:rsidRPr="00122D54" w:rsidRDefault="00BB251E" w:rsidP="00BB251E">
      <w:pPr>
        <w:jc w:val="both"/>
        <w:rPr>
          <w:rFonts w:asciiTheme="minorHAnsi" w:hAnsiTheme="minorHAnsi" w:cstheme="minorHAnsi"/>
        </w:rPr>
      </w:pPr>
      <w:r w:rsidRPr="00122D54">
        <w:rPr>
          <w:rFonts w:asciiTheme="minorHAnsi" w:hAnsiTheme="minorHAnsi" w:cstheme="minorHAnsi"/>
        </w:rPr>
        <w:t xml:space="preserve">Les Parties conviennent donc de se rencontrer </w:t>
      </w:r>
      <w:r w:rsidRPr="00122D54">
        <w:rPr>
          <w:rFonts w:asciiTheme="minorHAnsi" w:hAnsiTheme="minorHAnsi" w:cstheme="minorHAnsi"/>
          <w:b/>
          <w:i/>
        </w:rPr>
        <w:t>[toutes les 2 semaines]</w:t>
      </w:r>
      <w:r w:rsidRPr="00122D54">
        <w:rPr>
          <w:rFonts w:asciiTheme="minorHAnsi" w:hAnsiTheme="minorHAnsi" w:cstheme="minorHAnsi"/>
          <w:bCs/>
          <w:iCs/>
        </w:rPr>
        <w:t>, jusqu’à</w:t>
      </w:r>
      <w:r w:rsidRPr="00122D54">
        <w:rPr>
          <w:rFonts w:asciiTheme="minorHAnsi" w:hAnsiTheme="minorHAnsi" w:cstheme="minorHAnsi"/>
        </w:rPr>
        <w:t xml:space="preserve"> la fin de l’état d’urgence sanitaire, pour remédier d'une manière équitable pour les deux Parties aux difficultés rencontrées,</w:t>
      </w:r>
      <w:r w:rsidRPr="00122D54">
        <w:rPr>
          <w:rFonts w:asciiTheme="minorHAnsi" w:hAnsiTheme="minorHAnsi" w:cstheme="minorHAnsi"/>
          <w:i/>
          <w:iCs/>
        </w:rPr>
        <w:t xml:space="preserve"> </w:t>
      </w:r>
      <w:r w:rsidRPr="00122D54">
        <w:rPr>
          <w:rFonts w:asciiTheme="minorHAnsi" w:hAnsiTheme="minorHAnsi" w:cstheme="minorHAnsi"/>
        </w:rPr>
        <w:t>convenir des mesures appropriées à la poursuite de l’exécution du Marché dans les deux objectifs que les Parties s’assignent :</w:t>
      </w:r>
    </w:p>
    <w:p w14:paraId="575116DD" w14:textId="77777777" w:rsidR="00BB251E" w:rsidRPr="00122D54" w:rsidRDefault="00BB251E" w:rsidP="00BB251E">
      <w:pPr>
        <w:pStyle w:val="Paragraphedeliste"/>
        <w:numPr>
          <w:ilvl w:val="0"/>
          <w:numId w:val="11"/>
        </w:numPr>
        <w:spacing w:after="0" w:line="240" w:lineRule="auto"/>
        <w:jc w:val="both"/>
        <w:rPr>
          <w:rFonts w:cstheme="minorHAnsi"/>
        </w:rPr>
      </w:pPr>
      <w:r w:rsidRPr="00122D54">
        <w:rPr>
          <w:rFonts w:cstheme="minorHAnsi"/>
        </w:rPr>
        <w:t>l’actualisation du planning pour tenir compte de l’incidence des mesures visées à l’article 2 sur les durées d’exécution des travaux restant à réaliser,</w:t>
      </w:r>
    </w:p>
    <w:p w14:paraId="5CE70D80" w14:textId="77777777" w:rsidR="00BB251E" w:rsidRPr="00122D54" w:rsidRDefault="00BB251E" w:rsidP="00BB251E">
      <w:pPr>
        <w:pStyle w:val="Paragraphedeliste"/>
        <w:numPr>
          <w:ilvl w:val="0"/>
          <w:numId w:val="11"/>
        </w:numPr>
        <w:spacing w:after="0" w:line="240" w:lineRule="auto"/>
        <w:jc w:val="both"/>
        <w:rPr>
          <w:rFonts w:cstheme="minorHAnsi"/>
        </w:rPr>
      </w:pPr>
      <w:r w:rsidRPr="00122D54">
        <w:rPr>
          <w:rFonts w:cstheme="minorHAnsi"/>
        </w:rPr>
        <w:t>le rétablissement de l’équilibre financier du Marché,</w:t>
      </w:r>
    </w:p>
    <w:p w14:paraId="26FDD2F3" w14:textId="77777777" w:rsidR="00BB251E" w:rsidRPr="00122D54" w:rsidRDefault="00BB251E" w:rsidP="00BB251E">
      <w:pPr>
        <w:jc w:val="both"/>
        <w:rPr>
          <w:rFonts w:asciiTheme="minorHAnsi" w:hAnsiTheme="minorHAnsi" w:cstheme="minorHAnsi"/>
        </w:rPr>
      </w:pPr>
      <w:r w:rsidRPr="00122D54">
        <w:rPr>
          <w:rFonts w:asciiTheme="minorHAnsi" w:hAnsiTheme="minorHAnsi" w:cstheme="minorHAnsi"/>
        </w:rPr>
        <w:t>et négocier de bonne foi des modifications à apporter en conséquence au Marché.</w:t>
      </w:r>
    </w:p>
    <w:p w14:paraId="729279E2" w14:textId="77777777" w:rsidR="00BB251E" w:rsidRPr="00122D54" w:rsidRDefault="00BB251E" w:rsidP="00BB251E">
      <w:pPr>
        <w:jc w:val="both"/>
        <w:rPr>
          <w:rFonts w:asciiTheme="minorHAnsi" w:hAnsiTheme="minorHAnsi" w:cstheme="minorHAnsi"/>
        </w:rPr>
      </w:pPr>
    </w:p>
    <w:p w14:paraId="785AC97C" w14:textId="77777777" w:rsidR="00BB251E" w:rsidRPr="00122D54" w:rsidRDefault="00BB251E" w:rsidP="00BB251E">
      <w:pPr>
        <w:jc w:val="both"/>
        <w:rPr>
          <w:rFonts w:asciiTheme="minorHAnsi" w:hAnsiTheme="minorHAnsi" w:cstheme="minorHAnsi"/>
        </w:rPr>
      </w:pPr>
      <w:r w:rsidRPr="00122D54">
        <w:rPr>
          <w:rFonts w:asciiTheme="minorHAnsi" w:hAnsiTheme="minorHAnsi" w:cstheme="minorHAnsi"/>
          <w:b/>
          <w:bCs/>
          <w:i/>
          <w:iCs/>
        </w:rPr>
        <w:t>[option possible :</w:t>
      </w:r>
      <w:r w:rsidRPr="00122D54">
        <w:rPr>
          <w:rFonts w:asciiTheme="minorHAnsi" w:hAnsiTheme="minorHAnsi" w:cstheme="minorHAnsi"/>
        </w:rPr>
        <w:t xml:space="preserve"> La Société remettra au Maître d’Ouvrage, 2 jours ouvrés avant chacune de ces rencontres, un rapport sur l’avancement des travaux depuis la dernière rencontre, dont le Maître d’Ouvrage pourra confier l’analyse au Maître d’œuvre.</w:t>
      </w:r>
      <w:r w:rsidRPr="00122D54">
        <w:rPr>
          <w:rFonts w:asciiTheme="minorHAnsi" w:hAnsiTheme="minorHAnsi" w:cstheme="minorHAnsi"/>
          <w:b/>
          <w:bCs/>
          <w:i/>
          <w:iCs/>
        </w:rPr>
        <w:t>]</w:t>
      </w:r>
    </w:p>
    <w:p w14:paraId="4DF099F3" w14:textId="77777777" w:rsidR="00BB251E" w:rsidRPr="00122D54" w:rsidRDefault="00BB251E" w:rsidP="00BB251E">
      <w:pPr>
        <w:jc w:val="both"/>
        <w:rPr>
          <w:rFonts w:asciiTheme="minorHAnsi" w:hAnsiTheme="minorHAnsi" w:cstheme="minorHAnsi"/>
        </w:rPr>
      </w:pPr>
    </w:p>
    <w:p w14:paraId="224EDB84" w14:textId="77777777" w:rsidR="00BB251E" w:rsidRPr="00122D54" w:rsidRDefault="00BB251E" w:rsidP="00BB251E">
      <w:pPr>
        <w:jc w:val="both"/>
        <w:rPr>
          <w:rFonts w:asciiTheme="minorHAnsi" w:hAnsiTheme="minorHAnsi" w:cstheme="minorHAnsi"/>
        </w:rPr>
      </w:pPr>
      <w:r w:rsidRPr="00122D54">
        <w:rPr>
          <w:rFonts w:asciiTheme="minorHAnsi" w:hAnsiTheme="minorHAnsi" w:cstheme="minorHAnsi"/>
        </w:rPr>
        <w:t xml:space="preserve">Si, dans le mois suivant la fin de l’état d’urgence sanitaire, les Parties ne parviennent pas à s'entendre sur l’adaptation des conditions du Marché et leur formalisation par un avenant, l'une ou l'autre des Parties peut </w:t>
      </w:r>
      <w:r w:rsidRPr="00122D54">
        <w:rPr>
          <w:rFonts w:asciiTheme="minorHAnsi" w:hAnsiTheme="minorHAnsi" w:cstheme="minorHAnsi"/>
          <w:b/>
          <w:bCs/>
          <w:i/>
          <w:iCs/>
        </w:rPr>
        <w:t>[option à choisir selon la rédaction du Marché : option1 :</w:t>
      </w:r>
      <w:r w:rsidRPr="00122D54">
        <w:rPr>
          <w:rFonts w:asciiTheme="minorHAnsi" w:hAnsiTheme="minorHAnsi" w:cstheme="minorHAnsi"/>
        </w:rPr>
        <w:t xml:space="preserve"> soumettre le différend conformément au mécanisme de règlement des différends prévu par le Marché. </w:t>
      </w:r>
      <w:r w:rsidRPr="00122D54">
        <w:rPr>
          <w:rFonts w:asciiTheme="minorHAnsi" w:hAnsiTheme="minorHAnsi" w:cstheme="minorHAnsi"/>
          <w:b/>
          <w:bCs/>
          <w:i/>
          <w:iCs/>
        </w:rPr>
        <w:t>ou option2 :</w:t>
      </w:r>
      <w:r w:rsidRPr="00122D54">
        <w:rPr>
          <w:rFonts w:asciiTheme="minorHAnsi" w:hAnsiTheme="minorHAnsi" w:cstheme="minorHAnsi"/>
        </w:rPr>
        <w:t xml:space="preserve"> solliciter la résiliation du Marché sans indemnité de part ni d’autre, autre que la rémunération des prestations fournies à la date de cette résiliation</w:t>
      </w:r>
      <w:r w:rsidRPr="00122D54">
        <w:rPr>
          <w:rFonts w:asciiTheme="minorHAnsi" w:hAnsiTheme="minorHAnsi" w:cstheme="minorHAnsi"/>
          <w:b/>
          <w:bCs/>
          <w:i/>
          <w:iCs/>
        </w:rPr>
        <w:t>]</w:t>
      </w:r>
      <w:r w:rsidRPr="00122D54">
        <w:rPr>
          <w:rFonts w:asciiTheme="minorHAnsi" w:hAnsiTheme="minorHAnsi" w:cstheme="minorHAnsi"/>
        </w:rPr>
        <w:t>.</w:t>
      </w:r>
    </w:p>
    <w:p w14:paraId="4648216F" w14:textId="77777777" w:rsidR="00BB251E" w:rsidRPr="00122D54" w:rsidRDefault="00BB251E" w:rsidP="00BB251E">
      <w:pPr>
        <w:pStyle w:val="Titre1"/>
        <w:rPr>
          <w:rFonts w:asciiTheme="minorHAnsi" w:hAnsiTheme="minorHAnsi" w:cstheme="minorHAnsi"/>
        </w:rPr>
      </w:pPr>
      <w:r w:rsidRPr="00122D54">
        <w:rPr>
          <w:rFonts w:asciiTheme="minorHAnsi" w:hAnsiTheme="minorHAnsi" w:cstheme="minorHAnsi"/>
        </w:rPr>
        <w:t>Prise d’effet</w:t>
      </w:r>
    </w:p>
    <w:p w14:paraId="583767EE" w14:textId="77777777" w:rsidR="00BB251E" w:rsidRPr="00122D54" w:rsidRDefault="00BB251E" w:rsidP="00BB251E">
      <w:pPr>
        <w:jc w:val="both"/>
        <w:rPr>
          <w:rFonts w:asciiTheme="minorHAnsi" w:hAnsiTheme="minorHAnsi" w:cstheme="minorHAnsi"/>
        </w:rPr>
      </w:pPr>
      <w:r w:rsidRPr="00122D54">
        <w:rPr>
          <w:rFonts w:asciiTheme="minorHAnsi" w:hAnsiTheme="minorHAnsi" w:cstheme="minorHAnsi"/>
        </w:rPr>
        <w:t>Le présent Protocole prend effet à la signature par les deux Parties.</w:t>
      </w:r>
    </w:p>
    <w:p w14:paraId="609AEFAC" w14:textId="77777777" w:rsidR="00BB251E" w:rsidRPr="00122D54" w:rsidRDefault="00BB251E" w:rsidP="00BB251E">
      <w:pPr>
        <w:jc w:val="both"/>
        <w:rPr>
          <w:rFonts w:asciiTheme="minorHAnsi" w:hAnsiTheme="minorHAnsi" w:cstheme="minorHAnsi"/>
        </w:rPr>
      </w:pPr>
    </w:p>
    <w:p w14:paraId="32E98E00" w14:textId="77777777" w:rsidR="00BB251E" w:rsidRPr="00122D54" w:rsidRDefault="00BB251E" w:rsidP="00BB251E">
      <w:pPr>
        <w:jc w:val="both"/>
        <w:rPr>
          <w:rFonts w:asciiTheme="minorHAnsi" w:hAnsiTheme="minorHAnsi" w:cstheme="minorHAnsi"/>
        </w:rPr>
      </w:pPr>
    </w:p>
    <w:p w14:paraId="44F95AC9" w14:textId="77777777" w:rsidR="00BB251E" w:rsidRPr="00122D54" w:rsidRDefault="00BB251E" w:rsidP="00BB251E">
      <w:pPr>
        <w:jc w:val="both"/>
        <w:rPr>
          <w:rFonts w:asciiTheme="minorHAnsi" w:hAnsiTheme="minorHAnsi" w:cstheme="minorHAnsi"/>
        </w:rPr>
      </w:pPr>
    </w:p>
    <w:p w14:paraId="2D1CA11F" w14:textId="77777777" w:rsidR="00BB251E" w:rsidRPr="00122D54" w:rsidRDefault="00BB251E" w:rsidP="00BB251E">
      <w:pPr>
        <w:jc w:val="both"/>
        <w:rPr>
          <w:rFonts w:asciiTheme="minorHAnsi" w:hAnsiTheme="minorHAnsi" w:cstheme="minorHAnsi"/>
        </w:rPr>
      </w:pPr>
      <w:r w:rsidRPr="00122D54">
        <w:rPr>
          <w:rFonts w:asciiTheme="minorHAnsi" w:hAnsiTheme="minorHAnsi" w:cstheme="minorHAnsi"/>
        </w:rPr>
        <w:t xml:space="preserve">Pour l’exécution du Protocole, les Parties élisent domicile en leur siège respectif. </w:t>
      </w:r>
    </w:p>
    <w:p w14:paraId="3E5DDC68" w14:textId="77777777" w:rsidR="00BB251E" w:rsidRPr="00122D54" w:rsidRDefault="00BB251E" w:rsidP="00BB251E">
      <w:pPr>
        <w:jc w:val="both"/>
        <w:rPr>
          <w:rFonts w:asciiTheme="minorHAnsi" w:hAnsiTheme="minorHAnsi" w:cstheme="minorHAnsi"/>
        </w:rPr>
      </w:pPr>
    </w:p>
    <w:p w14:paraId="31DD59D3" w14:textId="77777777" w:rsidR="00BB251E" w:rsidRPr="00122D54" w:rsidRDefault="00BB251E" w:rsidP="00BB251E">
      <w:pPr>
        <w:jc w:val="both"/>
        <w:rPr>
          <w:rFonts w:asciiTheme="minorHAnsi" w:hAnsiTheme="minorHAnsi" w:cstheme="minorHAnsi"/>
        </w:rPr>
      </w:pPr>
    </w:p>
    <w:p w14:paraId="13CBB78A" w14:textId="77777777" w:rsidR="00BB251E" w:rsidRPr="00122D54" w:rsidRDefault="00BB251E" w:rsidP="00BB251E">
      <w:pPr>
        <w:jc w:val="both"/>
        <w:rPr>
          <w:rFonts w:asciiTheme="minorHAnsi" w:hAnsiTheme="minorHAnsi" w:cstheme="minorHAnsi"/>
        </w:rPr>
      </w:pPr>
      <w:r w:rsidRPr="00122D54">
        <w:rPr>
          <w:rFonts w:asciiTheme="minorHAnsi" w:hAnsiTheme="minorHAnsi" w:cstheme="minorHAnsi"/>
        </w:rPr>
        <w:t xml:space="preserve">Le présent Protocole est établi en deux (2) exemplaires originaux. </w:t>
      </w:r>
    </w:p>
    <w:p w14:paraId="094CF257" w14:textId="77777777" w:rsidR="00BB251E" w:rsidRPr="00122D54" w:rsidRDefault="00BB251E" w:rsidP="00BB251E">
      <w:pPr>
        <w:jc w:val="both"/>
        <w:rPr>
          <w:rFonts w:asciiTheme="minorHAnsi" w:hAnsiTheme="minorHAnsi" w:cstheme="minorHAnsi"/>
        </w:rPr>
      </w:pPr>
      <w:r w:rsidRPr="00122D54">
        <w:rPr>
          <w:rFonts w:asciiTheme="minorHAnsi" w:hAnsiTheme="minorHAnsi" w:cstheme="minorHAnsi"/>
        </w:rPr>
        <w:t xml:space="preserve">Fait à …………………………., le…………… </w:t>
      </w:r>
    </w:p>
    <w:p w14:paraId="67F9B8D6" w14:textId="77777777" w:rsidR="00BB251E" w:rsidRPr="00122D54" w:rsidRDefault="00BB251E" w:rsidP="00BB251E">
      <w:pPr>
        <w:jc w:val="both"/>
        <w:rPr>
          <w:rFonts w:asciiTheme="minorHAnsi" w:hAnsiTheme="minorHAnsi" w:cstheme="minorHAnsi"/>
        </w:rPr>
      </w:pPr>
    </w:p>
    <w:p w14:paraId="7234E3A6" w14:textId="77777777" w:rsidR="00BB251E" w:rsidRPr="00122D54" w:rsidRDefault="00BB251E" w:rsidP="00BB251E">
      <w:pPr>
        <w:tabs>
          <w:tab w:val="center" w:pos="2268"/>
          <w:tab w:val="center" w:pos="6946"/>
        </w:tabs>
        <w:jc w:val="both"/>
        <w:rPr>
          <w:rFonts w:asciiTheme="minorHAnsi" w:hAnsiTheme="minorHAnsi" w:cstheme="minorHAnsi"/>
        </w:rPr>
      </w:pPr>
      <w:r w:rsidRPr="00122D54">
        <w:rPr>
          <w:rFonts w:asciiTheme="minorHAnsi" w:hAnsiTheme="minorHAnsi" w:cstheme="minorHAnsi"/>
        </w:rPr>
        <w:tab/>
      </w:r>
      <w:r w:rsidR="00122D54">
        <w:rPr>
          <w:rFonts w:asciiTheme="minorHAnsi" w:hAnsiTheme="minorHAnsi" w:cstheme="minorHAnsi"/>
        </w:rPr>
        <w:br/>
      </w:r>
      <w:r w:rsidRPr="00122D54">
        <w:rPr>
          <w:rFonts w:asciiTheme="minorHAnsi" w:hAnsiTheme="minorHAnsi" w:cstheme="minorHAnsi"/>
        </w:rPr>
        <w:t>pour Le Maître d’Ouvrage,</w:t>
      </w:r>
      <w:r w:rsidRPr="00122D54">
        <w:rPr>
          <w:rFonts w:asciiTheme="minorHAnsi" w:hAnsiTheme="minorHAnsi" w:cstheme="minorHAnsi"/>
        </w:rPr>
        <w:tab/>
        <w:t>pour la Société,</w:t>
      </w:r>
    </w:p>
    <w:p w14:paraId="720E4572" w14:textId="77777777" w:rsidR="00BB251E" w:rsidRPr="00122D54" w:rsidRDefault="00BB251E" w:rsidP="00BB251E">
      <w:pPr>
        <w:jc w:val="both"/>
        <w:rPr>
          <w:rFonts w:asciiTheme="minorHAnsi" w:hAnsiTheme="minorHAnsi" w:cstheme="minorHAnsi"/>
        </w:rPr>
      </w:pPr>
    </w:p>
    <w:p w14:paraId="288B2738" w14:textId="77777777" w:rsidR="00BB251E" w:rsidRPr="00122D54" w:rsidRDefault="00BB251E" w:rsidP="00BB251E">
      <w:pPr>
        <w:jc w:val="both"/>
        <w:rPr>
          <w:rFonts w:asciiTheme="minorHAnsi" w:hAnsiTheme="minorHAnsi" w:cstheme="minorHAnsi"/>
        </w:rPr>
      </w:pPr>
    </w:p>
    <w:p w14:paraId="7D6C4C1B" w14:textId="77777777" w:rsidR="00BB251E" w:rsidRPr="00122D54" w:rsidRDefault="00BB251E" w:rsidP="00BB251E">
      <w:pPr>
        <w:jc w:val="both"/>
        <w:rPr>
          <w:rFonts w:asciiTheme="minorHAnsi" w:hAnsiTheme="minorHAnsi" w:cstheme="minorHAnsi"/>
        </w:rPr>
      </w:pPr>
    </w:p>
    <w:p w14:paraId="3EB0B3ED" w14:textId="77777777" w:rsidR="00BB251E" w:rsidRPr="00122D54" w:rsidRDefault="00BB251E" w:rsidP="00BB251E">
      <w:pPr>
        <w:jc w:val="both"/>
        <w:rPr>
          <w:rFonts w:asciiTheme="minorHAnsi" w:hAnsiTheme="minorHAnsi" w:cstheme="minorHAnsi"/>
        </w:rPr>
      </w:pPr>
    </w:p>
    <w:p w14:paraId="1BF3585A" w14:textId="77777777" w:rsidR="00BB251E" w:rsidRPr="00122D54" w:rsidRDefault="00BB251E" w:rsidP="00BB251E">
      <w:pPr>
        <w:jc w:val="both"/>
        <w:rPr>
          <w:rFonts w:asciiTheme="minorHAnsi" w:hAnsiTheme="minorHAnsi" w:cstheme="minorHAnsi"/>
        </w:rPr>
      </w:pPr>
    </w:p>
    <w:p w14:paraId="61913296" w14:textId="77777777" w:rsidR="00BB251E" w:rsidRPr="00122D54" w:rsidRDefault="00BB251E" w:rsidP="00BB251E">
      <w:pPr>
        <w:jc w:val="both"/>
        <w:rPr>
          <w:rFonts w:asciiTheme="minorHAnsi" w:hAnsiTheme="minorHAnsi" w:cstheme="minorHAnsi"/>
        </w:rPr>
      </w:pPr>
    </w:p>
    <w:p w14:paraId="1A4E7FAF" w14:textId="77777777" w:rsidR="00BB251E" w:rsidRPr="00122D54" w:rsidRDefault="00BB251E" w:rsidP="00BB251E">
      <w:pPr>
        <w:jc w:val="both"/>
        <w:rPr>
          <w:rFonts w:asciiTheme="minorHAnsi" w:hAnsiTheme="minorHAnsi" w:cstheme="minorHAnsi"/>
        </w:rPr>
      </w:pPr>
    </w:p>
    <w:p w14:paraId="50851239" w14:textId="77777777" w:rsidR="00BB251E" w:rsidRPr="00122D54" w:rsidRDefault="00BB251E" w:rsidP="00BB251E">
      <w:pPr>
        <w:jc w:val="both"/>
        <w:rPr>
          <w:rFonts w:asciiTheme="minorHAnsi" w:hAnsiTheme="minorHAnsi" w:cstheme="minorHAnsi"/>
        </w:rPr>
      </w:pPr>
    </w:p>
    <w:p w14:paraId="1C18F0A6" w14:textId="77777777" w:rsidR="00BB251E" w:rsidRPr="00122D54" w:rsidRDefault="00BB251E" w:rsidP="00BB251E">
      <w:pPr>
        <w:jc w:val="both"/>
        <w:rPr>
          <w:rFonts w:asciiTheme="minorHAnsi" w:hAnsiTheme="minorHAnsi" w:cstheme="minorHAnsi"/>
        </w:rPr>
      </w:pPr>
    </w:p>
    <w:p w14:paraId="03D4BEEA" w14:textId="77777777" w:rsidR="00BB251E" w:rsidRPr="00122D54" w:rsidRDefault="00BB251E" w:rsidP="00BB251E">
      <w:pPr>
        <w:jc w:val="both"/>
        <w:rPr>
          <w:rFonts w:asciiTheme="minorHAnsi" w:hAnsiTheme="minorHAnsi" w:cstheme="minorHAnsi"/>
        </w:rPr>
      </w:pPr>
    </w:p>
    <w:p w14:paraId="13ACC9BD" w14:textId="77777777" w:rsidR="00BB251E" w:rsidRPr="00122D54" w:rsidRDefault="00BB251E" w:rsidP="00BB251E">
      <w:pPr>
        <w:jc w:val="both"/>
        <w:rPr>
          <w:rFonts w:asciiTheme="minorHAnsi" w:hAnsiTheme="minorHAnsi" w:cstheme="minorHAnsi"/>
        </w:rPr>
      </w:pPr>
    </w:p>
    <w:p w14:paraId="66C40A03" w14:textId="77777777" w:rsidR="00BB251E" w:rsidRPr="00122D54" w:rsidRDefault="00BB251E" w:rsidP="00BB251E">
      <w:pPr>
        <w:jc w:val="both"/>
        <w:rPr>
          <w:rFonts w:asciiTheme="minorHAnsi" w:hAnsiTheme="minorHAnsi" w:cstheme="minorHAnsi"/>
          <w:b/>
          <w:bCs/>
        </w:rPr>
      </w:pPr>
      <w:r w:rsidRPr="00122D54">
        <w:rPr>
          <w:rFonts w:asciiTheme="minorHAnsi" w:hAnsiTheme="minorHAnsi" w:cstheme="minorHAnsi"/>
          <w:b/>
          <w:bCs/>
        </w:rPr>
        <w:t>Annexes :</w:t>
      </w:r>
    </w:p>
    <w:p w14:paraId="09C0F155" w14:textId="77777777" w:rsidR="00BB251E" w:rsidRPr="00122D54" w:rsidRDefault="00BB251E" w:rsidP="00BB251E">
      <w:pPr>
        <w:pStyle w:val="Paragraphedeliste"/>
        <w:numPr>
          <w:ilvl w:val="0"/>
          <w:numId w:val="12"/>
        </w:numPr>
        <w:spacing w:after="0" w:line="240" w:lineRule="auto"/>
        <w:jc w:val="both"/>
        <w:rPr>
          <w:rFonts w:cstheme="minorHAnsi"/>
        </w:rPr>
      </w:pPr>
      <w:r w:rsidRPr="00122D54">
        <w:rPr>
          <w:rFonts w:cstheme="minorHAnsi"/>
        </w:rPr>
        <w:t>Liste des mesures sanitaires appliquées au projet et approuvées par les organismes de contrôle</w:t>
      </w:r>
    </w:p>
    <w:p w14:paraId="49F6EDFE" w14:textId="77777777" w:rsidR="00BB251E" w:rsidRPr="00122D54" w:rsidRDefault="00BB251E" w:rsidP="00BB251E">
      <w:pPr>
        <w:pStyle w:val="Paragraphedeliste"/>
        <w:numPr>
          <w:ilvl w:val="0"/>
          <w:numId w:val="12"/>
        </w:numPr>
        <w:spacing w:after="0" w:line="240" w:lineRule="auto"/>
        <w:jc w:val="both"/>
        <w:rPr>
          <w:rFonts w:cstheme="minorHAnsi"/>
        </w:rPr>
      </w:pPr>
      <w:r w:rsidRPr="00122D54">
        <w:rPr>
          <w:rFonts w:cstheme="minorHAnsi"/>
        </w:rPr>
        <w:t>Identification des surcoûts liés à la suspension et à la reprise des travaux</w:t>
      </w:r>
    </w:p>
    <w:p w14:paraId="2115183F" w14:textId="77777777" w:rsidR="00BB251E" w:rsidRPr="00122D54" w:rsidRDefault="00BB251E" w:rsidP="00BB251E">
      <w:pPr>
        <w:spacing w:after="160" w:line="259" w:lineRule="auto"/>
        <w:jc w:val="both"/>
        <w:rPr>
          <w:rFonts w:asciiTheme="minorHAnsi" w:hAnsiTheme="minorHAnsi" w:cstheme="minorHAnsi"/>
        </w:rPr>
      </w:pPr>
      <w:r w:rsidRPr="00122D54">
        <w:rPr>
          <w:rFonts w:asciiTheme="minorHAnsi" w:hAnsiTheme="minorHAnsi" w:cstheme="minorHAnsi"/>
        </w:rPr>
        <w:br w:type="page"/>
      </w:r>
    </w:p>
    <w:p w14:paraId="414FDCBD" w14:textId="77777777" w:rsidR="00BB251E" w:rsidRPr="00B2762D" w:rsidRDefault="00BB251E" w:rsidP="00BB251E">
      <w:pPr>
        <w:jc w:val="both"/>
        <w:rPr>
          <w:rFonts w:asciiTheme="minorHAnsi" w:hAnsiTheme="minorHAnsi" w:cstheme="minorHAnsi"/>
          <w:b/>
          <w:bCs/>
          <w:sz w:val="28"/>
          <w:szCs w:val="24"/>
        </w:rPr>
      </w:pPr>
      <w:r w:rsidRPr="00B2762D">
        <w:rPr>
          <w:rFonts w:asciiTheme="minorHAnsi" w:hAnsiTheme="minorHAnsi" w:cstheme="minorHAnsi"/>
          <w:b/>
          <w:bCs/>
          <w:sz w:val="28"/>
          <w:szCs w:val="24"/>
        </w:rPr>
        <w:t>ANNEXE 1</w:t>
      </w:r>
    </w:p>
    <w:p w14:paraId="2FD40CD0" w14:textId="77777777" w:rsidR="00BB251E" w:rsidRPr="00122D54" w:rsidRDefault="00BB251E" w:rsidP="00BB251E">
      <w:pPr>
        <w:jc w:val="both"/>
        <w:rPr>
          <w:rFonts w:asciiTheme="minorHAnsi" w:hAnsiTheme="minorHAnsi" w:cstheme="minorHAnsi"/>
        </w:rPr>
      </w:pPr>
    </w:p>
    <w:p w14:paraId="74FC4C58" w14:textId="77777777" w:rsidR="00BB251E" w:rsidRPr="00122D54" w:rsidRDefault="00BB251E" w:rsidP="00BB251E">
      <w:pPr>
        <w:jc w:val="both"/>
        <w:rPr>
          <w:rFonts w:asciiTheme="minorHAnsi" w:hAnsiTheme="minorHAnsi" w:cstheme="minorHAnsi"/>
          <w:b/>
          <w:bCs/>
        </w:rPr>
      </w:pPr>
      <w:r w:rsidRPr="00122D54">
        <w:rPr>
          <w:rFonts w:asciiTheme="minorHAnsi" w:hAnsiTheme="minorHAnsi" w:cstheme="minorHAnsi"/>
          <w:b/>
          <w:bCs/>
        </w:rPr>
        <w:t>LISTE DES MESURES SANITAIRES APPLIQUÉES AU PROJET</w:t>
      </w:r>
    </w:p>
    <w:p w14:paraId="0E09C26F" w14:textId="77777777" w:rsidR="00BB251E" w:rsidRPr="00122D54" w:rsidRDefault="00BB251E" w:rsidP="00BB251E">
      <w:pPr>
        <w:jc w:val="both"/>
        <w:rPr>
          <w:rFonts w:asciiTheme="minorHAnsi" w:hAnsiTheme="minorHAnsi" w:cstheme="minorHAnsi"/>
          <w:b/>
          <w:bCs/>
        </w:rPr>
      </w:pPr>
      <w:r w:rsidRPr="00122D54">
        <w:rPr>
          <w:rFonts w:asciiTheme="minorHAnsi" w:hAnsiTheme="minorHAnsi" w:cstheme="minorHAnsi"/>
          <w:b/>
          <w:bCs/>
        </w:rPr>
        <w:t>ET APPROUVÉES PAR LES ORGANISMES DE CONTRÔLE</w:t>
      </w:r>
    </w:p>
    <w:p w14:paraId="2774D68C" w14:textId="77777777" w:rsidR="00BB251E" w:rsidRPr="00122D54" w:rsidRDefault="00BB251E" w:rsidP="00BB251E">
      <w:pPr>
        <w:jc w:val="both"/>
        <w:rPr>
          <w:rFonts w:asciiTheme="minorHAnsi" w:hAnsiTheme="minorHAnsi" w:cstheme="minorHAnsi"/>
        </w:rPr>
      </w:pPr>
    </w:p>
    <w:p w14:paraId="48577181" w14:textId="77777777" w:rsidR="00BB251E" w:rsidRPr="00122D54" w:rsidRDefault="00BB251E" w:rsidP="00BB251E">
      <w:pPr>
        <w:jc w:val="both"/>
        <w:rPr>
          <w:rFonts w:asciiTheme="minorHAnsi" w:hAnsiTheme="minorHAnsi" w:cstheme="minorHAnsi"/>
        </w:rPr>
      </w:pPr>
    </w:p>
    <w:p w14:paraId="5DAA47FD" w14:textId="77777777" w:rsidR="00BB251E" w:rsidRPr="00122D54" w:rsidRDefault="00BB251E" w:rsidP="00BB251E">
      <w:pPr>
        <w:jc w:val="both"/>
        <w:rPr>
          <w:rFonts w:asciiTheme="minorHAnsi" w:hAnsiTheme="minorHAnsi" w:cstheme="minorHAnsi"/>
          <w:i/>
          <w:iCs/>
        </w:rPr>
      </w:pPr>
      <w:r w:rsidRPr="00122D54">
        <w:rPr>
          <w:rFonts w:asciiTheme="minorHAnsi" w:hAnsiTheme="minorHAnsi" w:cstheme="minorHAnsi"/>
          <w:i/>
          <w:iCs/>
        </w:rPr>
        <w:t>[Les mesures et procédures définies pour le chantier en application du Guide OPPBTP, fixées conjointement avec la maîtrise d’œuvre, le coordonnateur SPS et les autres intervenants sur le chantier, avec les conditions matérielles dans lesquelles elles seront respectées par l’ensemble des intervenants sur le chantier]</w:t>
      </w:r>
    </w:p>
    <w:p w14:paraId="6898A4DA" w14:textId="77777777" w:rsidR="00BB251E" w:rsidRPr="00122D54" w:rsidRDefault="00BB251E" w:rsidP="00BB251E">
      <w:pPr>
        <w:jc w:val="both"/>
        <w:rPr>
          <w:rFonts w:asciiTheme="minorHAnsi" w:hAnsiTheme="minorHAnsi" w:cstheme="minorHAnsi"/>
        </w:rPr>
      </w:pPr>
    </w:p>
    <w:p w14:paraId="42F92745" w14:textId="77777777" w:rsidR="00BB251E" w:rsidRPr="00122D54" w:rsidRDefault="00BB251E" w:rsidP="00BB251E">
      <w:pPr>
        <w:jc w:val="both"/>
        <w:rPr>
          <w:rFonts w:asciiTheme="minorHAnsi" w:hAnsiTheme="minorHAnsi" w:cstheme="minorHAnsi"/>
          <w:i/>
          <w:iCs/>
        </w:rPr>
      </w:pPr>
      <w:r w:rsidRPr="00122D54">
        <w:rPr>
          <w:rFonts w:asciiTheme="minorHAnsi" w:hAnsiTheme="minorHAnsi" w:cstheme="minorHAnsi"/>
          <w:i/>
          <w:iCs/>
        </w:rPr>
        <w:t>[Ainsi que toutes autres dispositions sanitaires et de sécurité justifiées par les spécificités du Marché]</w:t>
      </w:r>
    </w:p>
    <w:p w14:paraId="6B64675E" w14:textId="77777777" w:rsidR="00BB251E" w:rsidRPr="00122D54" w:rsidRDefault="00BB251E" w:rsidP="00BB251E">
      <w:pPr>
        <w:spacing w:after="160" w:line="259" w:lineRule="auto"/>
        <w:jc w:val="both"/>
        <w:rPr>
          <w:rFonts w:asciiTheme="minorHAnsi" w:hAnsiTheme="minorHAnsi" w:cstheme="minorHAnsi"/>
          <w:b/>
          <w:bCs/>
          <w:sz w:val="24"/>
          <w:szCs w:val="24"/>
        </w:rPr>
      </w:pPr>
      <w:r w:rsidRPr="00122D54">
        <w:rPr>
          <w:rFonts w:asciiTheme="minorHAnsi" w:hAnsiTheme="minorHAnsi" w:cstheme="minorHAnsi"/>
          <w:b/>
          <w:bCs/>
          <w:sz w:val="24"/>
          <w:szCs w:val="24"/>
        </w:rPr>
        <w:br w:type="page"/>
      </w:r>
    </w:p>
    <w:p w14:paraId="05DE712C" w14:textId="77777777" w:rsidR="00BB251E" w:rsidRPr="00B2762D" w:rsidRDefault="00BB251E" w:rsidP="00BB251E">
      <w:pPr>
        <w:jc w:val="both"/>
        <w:rPr>
          <w:rFonts w:asciiTheme="minorHAnsi" w:hAnsiTheme="minorHAnsi" w:cstheme="minorHAnsi"/>
          <w:b/>
          <w:bCs/>
          <w:sz w:val="28"/>
          <w:szCs w:val="24"/>
        </w:rPr>
      </w:pPr>
      <w:r w:rsidRPr="00B2762D">
        <w:rPr>
          <w:rFonts w:asciiTheme="minorHAnsi" w:hAnsiTheme="minorHAnsi" w:cstheme="minorHAnsi"/>
          <w:b/>
          <w:bCs/>
          <w:sz w:val="28"/>
          <w:szCs w:val="24"/>
        </w:rPr>
        <w:t>ANNEXE 2</w:t>
      </w:r>
    </w:p>
    <w:p w14:paraId="41A84760" w14:textId="77777777" w:rsidR="00BB251E" w:rsidRPr="00122D54" w:rsidRDefault="00BB251E" w:rsidP="00BB251E">
      <w:pPr>
        <w:jc w:val="both"/>
        <w:rPr>
          <w:rFonts w:asciiTheme="minorHAnsi" w:hAnsiTheme="minorHAnsi" w:cstheme="minorHAnsi"/>
        </w:rPr>
      </w:pPr>
    </w:p>
    <w:p w14:paraId="6FC71606" w14:textId="77777777" w:rsidR="00BB251E" w:rsidRPr="00122D54" w:rsidRDefault="00BB251E" w:rsidP="00BB251E">
      <w:pPr>
        <w:jc w:val="both"/>
        <w:rPr>
          <w:rFonts w:asciiTheme="minorHAnsi" w:hAnsiTheme="minorHAnsi" w:cstheme="minorHAnsi"/>
          <w:b/>
          <w:bCs/>
        </w:rPr>
      </w:pPr>
      <w:r w:rsidRPr="00122D54">
        <w:rPr>
          <w:rFonts w:asciiTheme="minorHAnsi" w:hAnsiTheme="minorHAnsi" w:cstheme="minorHAnsi"/>
          <w:b/>
          <w:bCs/>
        </w:rPr>
        <w:t>IDENTIFICATION DES SURCOÛTS</w:t>
      </w:r>
    </w:p>
    <w:p w14:paraId="43A4D074" w14:textId="77777777" w:rsidR="00BB251E" w:rsidRPr="00122D54" w:rsidRDefault="00BB251E" w:rsidP="00BB251E">
      <w:pPr>
        <w:jc w:val="both"/>
        <w:rPr>
          <w:rFonts w:asciiTheme="minorHAnsi" w:hAnsiTheme="minorHAnsi" w:cstheme="minorHAnsi"/>
          <w:b/>
          <w:bCs/>
        </w:rPr>
      </w:pPr>
      <w:r w:rsidRPr="00122D54">
        <w:rPr>
          <w:rFonts w:asciiTheme="minorHAnsi" w:hAnsiTheme="minorHAnsi" w:cstheme="minorHAnsi"/>
          <w:b/>
          <w:bCs/>
        </w:rPr>
        <w:t>LIÉS À LA SUSPENSION ET À LA REPRISE DES TRAVAUX</w:t>
      </w:r>
    </w:p>
    <w:p w14:paraId="24DDB7C0" w14:textId="77777777" w:rsidR="00BB251E" w:rsidRPr="00122D54" w:rsidRDefault="00BB251E" w:rsidP="00BB251E">
      <w:pPr>
        <w:jc w:val="both"/>
        <w:rPr>
          <w:rFonts w:asciiTheme="minorHAnsi" w:hAnsiTheme="minorHAnsi" w:cstheme="minorHAnsi"/>
        </w:rPr>
      </w:pPr>
    </w:p>
    <w:p w14:paraId="68DF10C5" w14:textId="77777777" w:rsidR="00BB251E" w:rsidRPr="00122D54" w:rsidRDefault="00BB251E" w:rsidP="00BB251E">
      <w:pPr>
        <w:jc w:val="both"/>
        <w:rPr>
          <w:rFonts w:asciiTheme="minorHAnsi" w:hAnsiTheme="minorHAnsi" w:cstheme="minorHAnsi"/>
        </w:rPr>
      </w:pPr>
    </w:p>
    <w:p w14:paraId="50935578" w14:textId="77777777" w:rsidR="00BB251E" w:rsidRPr="00122D54" w:rsidRDefault="00BB251E" w:rsidP="00BB251E">
      <w:pPr>
        <w:jc w:val="both"/>
        <w:rPr>
          <w:rFonts w:asciiTheme="minorHAnsi" w:hAnsiTheme="minorHAnsi" w:cstheme="minorHAnsi"/>
        </w:rPr>
      </w:pPr>
    </w:p>
    <w:p w14:paraId="3F42B8C2" w14:textId="77777777" w:rsidR="00BB251E" w:rsidRPr="00122D54" w:rsidRDefault="00BB251E" w:rsidP="00BB251E">
      <w:pPr>
        <w:jc w:val="both"/>
        <w:rPr>
          <w:rFonts w:asciiTheme="minorHAnsi" w:hAnsiTheme="minorHAnsi" w:cstheme="minorHAnsi"/>
        </w:rPr>
      </w:pPr>
      <w:r w:rsidRPr="00122D54">
        <w:rPr>
          <w:rFonts w:asciiTheme="minorHAnsi" w:hAnsiTheme="minorHAnsi" w:cstheme="minorHAnsi"/>
          <w:b/>
        </w:rPr>
        <w:t>Coûts liés à la période de suspension </w:t>
      </w:r>
      <w:r w:rsidRPr="00122D54">
        <w:rPr>
          <w:rFonts w:asciiTheme="minorHAnsi" w:hAnsiTheme="minorHAnsi" w:cstheme="minorHAnsi"/>
        </w:rPr>
        <w:t>:</w:t>
      </w:r>
    </w:p>
    <w:p w14:paraId="7DB6ADFC" w14:textId="77777777" w:rsidR="00BB251E" w:rsidRPr="00122D54" w:rsidRDefault="00BB251E" w:rsidP="00BB251E">
      <w:pPr>
        <w:ind w:left="708"/>
        <w:jc w:val="both"/>
        <w:rPr>
          <w:rFonts w:asciiTheme="minorHAnsi" w:hAnsiTheme="minorHAnsi" w:cstheme="minorHAnsi"/>
          <w:i/>
          <w:iCs/>
        </w:rPr>
      </w:pPr>
      <w:r w:rsidRPr="00122D54">
        <w:rPr>
          <w:rFonts w:asciiTheme="minorHAnsi" w:hAnsiTheme="minorHAnsi" w:cstheme="minorHAnsi"/>
          <w:i/>
          <w:iCs/>
        </w:rPr>
        <w:t>[Ces coûts comportent les coûts d’arrêt, de garde des ouvrages, les frais proportionnels au temps notamment de location… Les coûts salariaux associés pour les personnes n’ayant pas pu être mis en chômage technique dûment justifiés, les frais des sous-traitants validés ainsi que les frais proportionnels associés. Si des remboursements complémentaires de l’Etat liés à des demandes complémentaires advenaient, celles-ci seraient déduites de ce montant.]</w:t>
      </w:r>
    </w:p>
    <w:p w14:paraId="643D8FA3" w14:textId="77777777" w:rsidR="00BB251E" w:rsidRPr="00122D54" w:rsidRDefault="00BB251E" w:rsidP="00BB251E">
      <w:pPr>
        <w:ind w:left="708"/>
        <w:jc w:val="both"/>
        <w:rPr>
          <w:rFonts w:asciiTheme="minorHAnsi" w:hAnsiTheme="minorHAnsi" w:cstheme="minorHAnsi"/>
          <w:i/>
          <w:iCs/>
        </w:rPr>
      </w:pPr>
      <w:r w:rsidRPr="00122D54">
        <w:rPr>
          <w:rFonts w:asciiTheme="minorHAnsi" w:hAnsiTheme="minorHAnsi" w:cstheme="minorHAnsi"/>
          <w:i/>
          <w:iCs/>
        </w:rPr>
        <w:t>Frais d’immobilisation de la Société et de ses sous-traitants</w:t>
      </w:r>
    </w:p>
    <w:p w14:paraId="28BC3A0E" w14:textId="77777777" w:rsidR="00BB251E" w:rsidRPr="00122D54" w:rsidRDefault="00BB251E" w:rsidP="00BB251E">
      <w:pPr>
        <w:jc w:val="both"/>
        <w:rPr>
          <w:rFonts w:asciiTheme="minorHAnsi" w:hAnsiTheme="minorHAnsi" w:cstheme="minorHAnsi"/>
        </w:rPr>
      </w:pPr>
    </w:p>
    <w:p w14:paraId="580BFCC2" w14:textId="77777777" w:rsidR="00BB251E" w:rsidRPr="00122D54" w:rsidRDefault="00BB251E" w:rsidP="00BB251E">
      <w:pPr>
        <w:jc w:val="both"/>
        <w:rPr>
          <w:rFonts w:asciiTheme="minorHAnsi" w:hAnsiTheme="minorHAnsi" w:cstheme="minorHAnsi"/>
          <w:b/>
        </w:rPr>
      </w:pPr>
      <w:r w:rsidRPr="00122D54">
        <w:rPr>
          <w:rFonts w:asciiTheme="minorHAnsi" w:hAnsiTheme="minorHAnsi" w:cstheme="minorHAnsi"/>
          <w:b/>
        </w:rPr>
        <w:t>Coûts futurs durant la période d’application des mesures spécifiques :</w:t>
      </w:r>
    </w:p>
    <w:p w14:paraId="5EEC77DD" w14:textId="77777777" w:rsidR="00BB251E" w:rsidRPr="00122D54" w:rsidRDefault="00BB251E" w:rsidP="00BB251E">
      <w:pPr>
        <w:ind w:firstLine="708"/>
        <w:jc w:val="both"/>
        <w:rPr>
          <w:rFonts w:asciiTheme="minorHAnsi" w:hAnsiTheme="minorHAnsi" w:cstheme="minorHAnsi"/>
          <w:i/>
          <w:iCs/>
        </w:rPr>
      </w:pPr>
      <w:r w:rsidRPr="00122D54">
        <w:rPr>
          <w:rFonts w:asciiTheme="minorHAnsi" w:hAnsiTheme="minorHAnsi" w:cstheme="minorHAnsi"/>
          <w:i/>
          <w:iCs/>
        </w:rPr>
        <w:t>[Les frais de remobilisation de la Société et de ses fournisseurs et sous-traitants]</w:t>
      </w:r>
    </w:p>
    <w:p w14:paraId="30BF4DE0" w14:textId="77777777" w:rsidR="00BB251E" w:rsidRPr="00122D54" w:rsidRDefault="00BB251E" w:rsidP="00BB251E">
      <w:pPr>
        <w:tabs>
          <w:tab w:val="left" w:pos="1560"/>
        </w:tabs>
        <w:ind w:left="709"/>
        <w:jc w:val="both"/>
        <w:rPr>
          <w:rFonts w:asciiTheme="minorHAnsi" w:hAnsiTheme="minorHAnsi" w:cstheme="minorHAnsi"/>
          <w:i/>
          <w:iCs/>
        </w:rPr>
      </w:pPr>
      <w:r w:rsidRPr="00122D54">
        <w:rPr>
          <w:rFonts w:asciiTheme="minorHAnsi" w:hAnsiTheme="minorHAnsi" w:cstheme="minorHAnsi"/>
          <w:i/>
          <w:iCs/>
        </w:rPr>
        <w:t>[Les pertes de rendements sont estimées selon le tableau joint en annexe, elles dégradent la productivité et génèrent des surcoûts, estimés à X%. Chaque semaine une évaluation plus fine de cette évaluation sera faite en transparence, pour la Société et ses sous-traitants.]</w:t>
      </w:r>
    </w:p>
    <w:p w14:paraId="361B5621" w14:textId="77777777" w:rsidR="00BB251E" w:rsidRPr="00122D54" w:rsidRDefault="00BB251E" w:rsidP="00BB251E">
      <w:pPr>
        <w:tabs>
          <w:tab w:val="left" w:pos="1560"/>
        </w:tabs>
        <w:ind w:left="709"/>
        <w:jc w:val="both"/>
        <w:rPr>
          <w:rFonts w:asciiTheme="minorHAnsi" w:hAnsiTheme="minorHAnsi" w:cstheme="minorHAnsi"/>
          <w:i/>
          <w:iCs/>
        </w:rPr>
      </w:pPr>
      <w:r w:rsidRPr="00122D54">
        <w:rPr>
          <w:rFonts w:asciiTheme="minorHAnsi" w:hAnsiTheme="minorHAnsi" w:cstheme="minorHAnsi"/>
          <w:i/>
          <w:iCs/>
        </w:rPr>
        <w:t>Frais complémentaires d’études</w:t>
      </w:r>
    </w:p>
    <w:p w14:paraId="51C3FBF7" w14:textId="77777777" w:rsidR="00BB251E" w:rsidRPr="00122D54" w:rsidRDefault="00BB251E" w:rsidP="00BB251E">
      <w:pPr>
        <w:tabs>
          <w:tab w:val="left" w:pos="1560"/>
        </w:tabs>
        <w:ind w:left="709"/>
        <w:jc w:val="both"/>
        <w:rPr>
          <w:rFonts w:asciiTheme="minorHAnsi" w:hAnsiTheme="minorHAnsi" w:cstheme="minorHAnsi"/>
          <w:i/>
          <w:iCs/>
        </w:rPr>
      </w:pPr>
      <w:r w:rsidRPr="00122D54">
        <w:rPr>
          <w:rFonts w:asciiTheme="minorHAnsi" w:hAnsiTheme="minorHAnsi" w:cstheme="minorHAnsi"/>
          <w:i/>
          <w:iCs/>
        </w:rPr>
        <w:t>Surcoûts approvisionnements (matériaux, transport, …)</w:t>
      </w:r>
    </w:p>
    <w:p w14:paraId="66A6139C" w14:textId="77777777" w:rsidR="00BB251E" w:rsidRPr="00122D54" w:rsidRDefault="00BB251E" w:rsidP="00BB251E">
      <w:pPr>
        <w:tabs>
          <w:tab w:val="left" w:pos="1560"/>
        </w:tabs>
        <w:ind w:left="709"/>
        <w:jc w:val="both"/>
        <w:rPr>
          <w:rFonts w:asciiTheme="minorHAnsi" w:hAnsiTheme="minorHAnsi" w:cstheme="minorHAnsi"/>
          <w:i/>
          <w:iCs/>
        </w:rPr>
      </w:pPr>
    </w:p>
    <w:p w14:paraId="0C4B428F" w14:textId="77777777" w:rsidR="00BB251E" w:rsidRPr="00122D54" w:rsidRDefault="00BB251E" w:rsidP="00BB251E">
      <w:pPr>
        <w:tabs>
          <w:tab w:val="left" w:pos="1560"/>
        </w:tabs>
        <w:ind w:left="709"/>
        <w:jc w:val="both"/>
        <w:rPr>
          <w:rFonts w:asciiTheme="minorHAnsi" w:hAnsiTheme="minorHAnsi" w:cstheme="minorHAnsi"/>
          <w:i/>
          <w:iCs/>
        </w:rPr>
      </w:pPr>
      <w:r w:rsidRPr="00122D54">
        <w:rPr>
          <w:rFonts w:asciiTheme="minorHAnsi" w:hAnsiTheme="minorHAnsi" w:cstheme="minorHAnsi"/>
          <w:i/>
          <w:iCs/>
        </w:rPr>
        <w:t>Mesures d’accélération</w:t>
      </w:r>
    </w:p>
    <w:p w14:paraId="3E45173B" w14:textId="77777777" w:rsidR="00BB251E" w:rsidRPr="00122D54" w:rsidRDefault="00BB251E" w:rsidP="00BB251E">
      <w:pPr>
        <w:tabs>
          <w:tab w:val="left" w:pos="1560"/>
        </w:tabs>
        <w:ind w:left="709"/>
        <w:jc w:val="both"/>
        <w:rPr>
          <w:rFonts w:asciiTheme="minorHAnsi" w:hAnsiTheme="minorHAnsi" w:cstheme="minorHAnsi"/>
          <w:i/>
          <w:iCs/>
        </w:rPr>
      </w:pPr>
      <w:r w:rsidRPr="00122D54">
        <w:rPr>
          <w:rFonts w:asciiTheme="minorHAnsi" w:hAnsiTheme="minorHAnsi" w:cstheme="minorHAnsi"/>
          <w:i/>
          <w:iCs/>
        </w:rPr>
        <w:t>Pénalités ?</w:t>
      </w:r>
    </w:p>
    <w:p w14:paraId="7B98FD82" w14:textId="77777777" w:rsidR="00BB251E" w:rsidRPr="00122D54" w:rsidRDefault="00BB251E" w:rsidP="00BB251E">
      <w:pPr>
        <w:jc w:val="both"/>
        <w:rPr>
          <w:rFonts w:asciiTheme="minorHAnsi" w:hAnsiTheme="minorHAnsi" w:cstheme="minorHAnsi"/>
        </w:rPr>
      </w:pPr>
    </w:p>
    <w:p w14:paraId="37426494" w14:textId="77777777" w:rsidR="00BB251E" w:rsidRPr="00122D54" w:rsidRDefault="00BB251E" w:rsidP="00BB251E">
      <w:pPr>
        <w:jc w:val="both"/>
        <w:rPr>
          <w:rFonts w:asciiTheme="minorHAnsi" w:hAnsiTheme="minorHAnsi" w:cstheme="minorHAnsi"/>
          <w:b/>
          <w:bCs/>
        </w:rPr>
      </w:pPr>
      <w:r w:rsidRPr="00122D54">
        <w:rPr>
          <w:rFonts w:asciiTheme="minorHAnsi" w:hAnsiTheme="minorHAnsi" w:cstheme="minorHAnsi"/>
          <w:b/>
          <w:bCs/>
        </w:rPr>
        <w:t>Coûts propres au Maître d’Ouvrage</w:t>
      </w:r>
    </w:p>
    <w:p w14:paraId="09196174" w14:textId="77777777" w:rsidR="00BB251E" w:rsidRPr="00122D54" w:rsidRDefault="00BB251E" w:rsidP="00BB251E">
      <w:pPr>
        <w:ind w:left="708"/>
        <w:jc w:val="both"/>
        <w:rPr>
          <w:rFonts w:asciiTheme="minorHAnsi" w:hAnsiTheme="minorHAnsi" w:cstheme="minorHAnsi"/>
          <w:i/>
          <w:iCs/>
        </w:rPr>
      </w:pPr>
      <w:r w:rsidRPr="00122D54">
        <w:rPr>
          <w:rFonts w:asciiTheme="minorHAnsi" w:hAnsiTheme="minorHAnsi" w:cstheme="minorHAnsi"/>
          <w:i/>
          <w:iCs/>
        </w:rPr>
        <w:t xml:space="preserve">[Ces coûts comportent : </w:t>
      </w:r>
      <w:r w:rsidRPr="00122D54">
        <w:rPr>
          <w:rFonts w:asciiTheme="minorHAnsi" w:hAnsiTheme="minorHAnsi" w:cstheme="minorHAnsi"/>
          <w:bCs/>
          <w:i/>
          <w:iCs/>
        </w:rPr>
        <w:t>SPS, Maître d’œuvre, pertes financières du client final</w:t>
      </w:r>
      <w:r w:rsidRPr="00122D54">
        <w:rPr>
          <w:rFonts w:asciiTheme="minorHAnsi" w:hAnsiTheme="minorHAnsi" w:cstheme="minorHAnsi"/>
          <w:b/>
          <w:i/>
          <w:iCs/>
        </w:rPr>
        <w:t>, à compléter]</w:t>
      </w:r>
      <w:r w:rsidRPr="00122D54">
        <w:rPr>
          <w:rFonts w:asciiTheme="minorHAnsi" w:hAnsiTheme="minorHAnsi" w:cstheme="minorHAnsi"/>
          <w:i/>
          <w:iCs/>
        </w:rPr>
        <w:t>.</w:t>
      </w:r>
    </w:p>
    <w:p w14:paraId="2DBC50E5" w14:textId="77777777" w:rsidR="00BB251E" w:rsidRPr="00122D54" w:rsidRDefault="00BB251E" w:rsidP="00BB251E">
      <w:pPr>
        <w:jc w:val="both"/>
        <w:rPr>
          <w:rFonts w:asciiTheme="minorHAnsi" w:hAnsiTheme="minorHAnsi" w:cstheme="minorHAnsi"/>
        </w:rPr>
      </w:pPr>
    </w:p>
    <w:p w14:paraId="2C782C0C" w14:textId="77777777" w:rsidR="00BB251E" w:rsidRPr="00122D54" w:rsidRDefault="00BB251E" w:rsidP="00BB251E">
      <w:pPr>
        <w:jc w:val="both"/>
        <w:rPr>
          <w:rFonts w:asciiTheme="minorHAnsi" w:hAnsiTheme="minorHAnsi" w:cstheme="minorHAnsi"/>
        </w:rPr>
      </w:pPr>
    </w:p>
    <w:p w14:paraId="193E8D72" w14:textId="77777777" w:rsidR="00BB251E" w:rsidRPr="00122D54" w:rsidRDefault="00BB251E" w:rsidP="00BB251E">
      <w:pPr>
        <w:jc w:val="both"/>
        <w:rPr>
          <w:rFonts w:asciiTheme="minorHAnsi" w:hAnsiTheme="minorHAnsi" w:cstheme="minorHAnsi"/>
        </w:rPr>
      </w:pPr>
    </w:p>
    <w:p w14:paraId="0FC51407" w14:textId="77777777" w:rsidR="00BB251E" w:rsidRPr="00122D54" w:rsidRDefault="00BB251E" w:rsidP="00BB251E">
      <w:pPr>
        <w:jc w:val="both"/>
        <w:rPr>
          <w:rFonts w:asciiTheme="minorHAnsi" w:hAnsiTheme="minorHAnsi" w:cstheme="minorHAnsi"/>
        </w:rPr>
      </w:pPr>
    </w:p>
    <w:p w14:paraId="169DFA35" w14:textId="77777777" w:rsidR="00BB251E" w:rsidRPr="00122D54" w:rsidRDefault="00BB251E" w:rsidP="00BB251E">
      <w:pPr>
        <w:jc w:val="both"/>
        <w:rPr>
          <w:rFonts w:asciiTheme="minorHAnsi" w:hAnsiTheme="minorHAnsi" w:cstheme="minorHAnsi"/>
          <w:b/>
          <w:bCs/>
        </w:rPr>
      </w:pPr>
      <w:r w:rsidRPr="00122D54">
        <w:rPr>
          <w:rFonts w:asciiTheme="minorHAnsi" w:hAnsiTheme="minorHAnsi" w:cstheme="minorHAnsi"/>
          <w:b/>
          <w:bCs/>
        </w:rPr>
        <w:t>Conditions de paiement :</w:t>
      </w:r>
    </w:p>
    <w:p w14:paraId="4594766E" w14:textId="77777777" w:rsidR="00BB251E" w:rsidRPr="00122D54" w:rsidRDefault="00BB251E" w:rsidP="00BB251E">
      <w:pPr>
        <w:ind w:firstLine="708"/>
        <w:jc w:val="both"/>
        <w:rPr>
          <w:rFonts w:asciiTheme="minorHAnsi" w:hAnsiTheme="minorHAnsi" w:cstheme="minorHAnsi"/>
          <w:i/>
          <w:iCs/>
        </w:rPr>
      </w:pPr>
      <w:r w:rsidRPr="00122D54">
        <w:rPr>
          <w:rFonts w:asciiTheme="minorHAnsi" w:hAnsiTheme="minorHAnsi" w:cstheme="minorHAnsi"/>
          <w:i/>
          <w:iCs/>
        </w:rPr>
        <w:t>[Prise en charge immédiate ou ultérieure sur situation de travaux]</w:t>
      </w:r>
    </w:p>
    <w:p w14:paraId="6B90361F" w14:textId="77777777" w:rsidR="00BB251E" w:rsidRPr="00122D54" w:rsidRDefault="00BB251E" w:rsidP="00BB251E">
      <w:pPr>
        <w:ind w:right="4"/>
      </w:pPr>
    </w:p>
    <w:sectPr w:rsidR="00BB251E" w:rsidRPr="00122D54" w:rsidSect="00BB251E">
      <w:footerReference w:type="default" r:id="rId10"/>
      <w:pgSz w:w="11910" w:h="16840"/>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71C99" w14:textId="77777777" w:rsidR="007C7140" w:rsidRDefault="007C7140" w:rsidP="00BB251E">
      <w:r>
        <w:separator/>
      </w:r>
    </w:p>
  </w:endnote>
  <w:endnote w:type="continuationSeparator" w:id="0">
    <w:p w14:paraId="24CF8C40" w14:textId="77777777" w:rsidR="007C7140" w:rsidRDefault="007C7140" w:rsidP="00BB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ci Sans Light">
    <w:altName w:val="Calibri"/>
    <w:charset w:val="00"/>
    <w:family w:val="auto"/>
    <w:pitch w:val="variable"/>
    <w:sig w:usb0="A00000AF" w:usb1="4000205B" w:usb2="00000000" w:usb3="00000000" w:csb0="0000009B" w:csb1="00000000"/>
  </w:font>
  <w:font w:name="Arial Black">
    <w:panose1 w:val="020B0A04020102020204"/>
    <w:charset w:val="00"/>
    <w:family w:val="swiss"/>
    <w:pitch w:val="variable"/>
    <w:sig w:usb0="00000287" w:usb1="000000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Supria Sans Light">
    <w:altName w:val="Calibri"/>
    <w:panose1 w:val="00000000000000000000"/>
    <w:charset w:val="00"/>
    <w:family w:val="swiss"/>
    <w:notTrueType/>
    <w:pitch w:val="variable"/>
    <w:sig w:usb0="A00000AF" w:usb1="5000205B" w:usb2="00000000" w:usb3="00000000" w:csb0="00000093" w:csb1="00000000"/>
  </w:font>
  <w:font w:name="Supria Sans Black">
    <w:altName w:val="Calibri"/>
    <w:panose1 w:val="00000000000000000000"/>
    <w:charset w:val="00"/>
    <w:family w:val="swiss"/>
    <w:notTrueType/>
    <w:pitch w:val="variable"/>
    <w:sig w:usb0="A00000AF" w:usb1="5000205B" w:usb2="00000000" w:usb3="00000000" w:csb0="00000093" w:csb1="00000000"/>
  </w:font>
  <w:font w:name="Brandon Grotesque Light">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865C1" w14:textId="77777777" w:rsidR="0035042F" w:rsidRDefault="00122D54" w:rsidP="00BB251E">
    <w:pPr>
      <w:pStyle w:val="Pieddepage"/>
      <w:rPr>
        <w:rFonts w:ascii="Brandon Grotesque Light" w:hAnsi="Brandon Grotesque Light"/>
        <w:sz w:val="16"/>
      </w:rPr>
    </w:pPr>
    <w:r>
      <w:rPr>
        <w:rFonts w:ascii="Brandon Grotesque Light" w:hAnsi="Brandon Grotesque Light"/>
        <w:sz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1A93E" w14:textId="77777777" w:rsidR="007C7140" w:rsidRDefault="007C7140" w:rsidP="00BB251E">
      <w:r>
        <w:separator/>
      </w:r>
    </w:p>
  </w:footnote>
  <w:footnote w:type="continuationSeparator" w:id="0">
    <w:p w14:paraId="79EAF860" w14:textId="77777777" w:rsidR="007C7140" w:rsidRDefault="007C7140" w:rsidP="00BB2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F68"/>
    <w:multiLevelType w:val="hybridMultilevel"/>
    <w:tmpl w:val="19542114"/>
    <w:lvl w:ilvl="0" w:tplc="15CA5CF2">
      <w:start w:val="3"/>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232FB0"/>
    <w:multiLevelType w:val="hybridMultilevel"/>
    <w:tmpl w:val="807806E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E585F88"/>
    <w:multiLevelType w:val="hybridMultilevel"/>
    <w:tmpl w:val="4DCE3D06"/>
    <w:lvl w:ilvl="0" w:tplc="77F2FA00">
      <w:start w:val="1"/>
      <w:numFmt w:val="decimal"/>
      <w:pStyle w:val="Titre1"/>
      <w:lvlText w:val="ARTICLE %1 :"/>
      <w:lvlJc w:val="left"/>
      <w:pPr>
        <w:ind w:left="720" w:hanging="360"/>
      </w:pPr>
      <w:rPr>
        <w:rFonts w:ascii="Vinci Sans Light" w:hAnsi="Vinci Sans Light" w:hint="default"/>
        <w:b/>
        <w:i w:val="0"/>
        <w:caps/>
        <w:strike w:val="0"/>
        <w:dstrike w:val="0"/>
        <w:vanish w:val="0"/>
        <w:color w:val="auto"/>
        <w:spacing w:val="0"/>
        <w:w w:val="100"/>
        <w:kern w:val="0"/>
        <w:position w:val="0"/>
        <w:sz w:val="22"/>
        <w:vertAlign w:val="baseline"/>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DA44C6"/>
    <w:multiLevelType w:val="hybridMultilevel"/>
    <w:tmpl w:val="2E549198"/>
    <w:lvl w:ilvl="0" w:tplc="01C2D0E4">
      <w:start w:val="1"/>
      <w:numFmt w:val="bullet"/>
      <w:lvlText w:val=""/>
      <w:lvlJc w:val="left"/>
      <w:pPr>
        <w:ind w:left="720" w:hanging="360"/>
      </w:pPr>
      <w:rPr>
        <w:rFonts w:ascii="Wingdings" w:hAnsi="Wingdings" w:hint="default"/>
        <w:b w:val="0"/>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2F72A7"/>
    <w:multiLevelType w:val="hybridMultilevel"/>
    <w:tmpl w:val="A1B647FE"/>
    <w:lvl w:ilvl="0" w:tplc="01C2D0E4">
      <w:start w:val="1"/>
      <w:numFmt w:val="bullet"/>
      <w:lvlText w:val=""/>
      <w:lvlJc w:val="left"/>
      <w:pPr>
        <w:ind w:left="720" w:hanging="360"/>
      </w:pPr>
      <w:rPr>
        <w:rFonts w:ascii="Wingdings" w:hAnsi="Wingdings" w:hint="default"/>
        <w:b w:val="0"/>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F07B7E"/>
    <w:multiLevelType w:val="hybridMultilevel"/>
    <w:tmpl w:val="CCE04872"/>
    <w:lvl w:ilvl="0" w:tplc="01C2D0E4">
      <w:start w:val="1"/>
      <w:numFmt w:val="bullet"/>
      <w:lvlText w:val=""/>
      <w:lvlJc w:val="left"/>
      <w:pPr>
        <w:ind w:left="720" w:hanging="360"/>
      </w:pPr>
      <w:rPr>
        <w:rFonts w:ascii="Wingdings" w:hAnsi="Wingdings" w:hint="default"/>
        <w:b w:val="0"/>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DB0FA6"/>
    <w:multiLevelType w:val="hybridMultilevel"/>
    <w:tmpl w:val="20721364"/>
    <w:lvl w:ilvl="0" w:tplc="01C2D0E4">
      <w:start w:val="1"/>
      <w:numFmt w:val="bullet"/>
      <w:lvlText w:val=""/>
      <w:lvlJc w:val="left"/>
      <w:pPr>
        <w:ind w:left="720" w:hanging="360"/>
      </w:pPr>
      <w:rPr>
        <w:rFonts w:ascii="Wingdings" w:hAnsi="Wingdings" w:hint="default"/>
        <w:b w:val="0"/>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EB474A"/>
    <w:multiLevelType w:val="hybridMultilevel"/>
    <w:tmpl w:val="6A444A0E"/>
    <w:lvl w:ilvl="0" w:tplc="5A947526">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E2F02AA"/>
    <w:multiLevelType w:val="hybridMultilevel"/>
    <w:tmpl w:val="D31C9A58"/>
    <w:lvl w:ilvl="0" w:tplc="01C2D0E4">
      <w:start w:val="1"/>
      <w:numFmt w:val="bullet"/>
      <w:lvlText w:val=""/>
      <w:lvlJc w:val="left"/>
      <w:pPr>
        <w:ind w:left="720" w:hanging="360"/>
      </w:pPr>
      <w:rPr>
        <w:rFonts w:ascii="Wingdings" w:hAnsi="Wingdings" w:hint="default"/>
        <w:b w:val="0"/>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D37B8C"/>
    <w:multiLevelType w:val="hybridMultilevel"/>
    <w:tmpl w:val="009A8F00"/>
    <w:lvl w:ilvl="0" w:tplc="01C2D0E4">
      <w:start w:val="1"/>
      <w:numFmt w:val="bullet"/>
      <w:lvlText w:val=""/>
      <w:lvlJc w:val="left"/>
      <w:pPr>
        <w:ind w:left="720" w:hanging="360"/>
      </w:pPr>
      <w:rPr>
        <w:rFonts w:ascii="Wingdings" w:hAnsi="Wingdings" w:hint="default"/>
        <w:b w:val="0"/>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0912BB"/>
    <w:multiLevelType w:val="hybridMultilevel"/>
    <w:tmpl w:val="8F043792"/>
    <w:lvl w:ilvl="0" w:tplc="01C2D0E4">
      <w:start w:val="1"/>
      <w:numFmt w:val="bullet"/>
      <w:lvlText w:val=""/>
      <w:lvlJc w:val="left"/>
      <w:pPr>
        <w:ind w:left="720" w:hanging="360"/>
      </w:pPr>
      <w:rPr>
        <w:rFonts w:ascii="Wingdings" w:hAnsi="Wingdings" w:hint="default"/>
        <w:b w:val="0"/>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BB1A6E"/>
    <w:multiLevelType w:val="hybridMultilevel"/>
    <w:tmpl w:val="633C5BB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FDA1858"/>
    <w:multiLevelType w:val="hybridMultilevel"/>
    <w:tmpl w:val="13CE2D74"/>
    <w:lvl w:ilvl="0" w:tplc="15CA5CF2">
      <w:start w:val="3"/>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0"/>
  </w:num>
  <w:num w:numId="5">
    <w:abstractNumId w:val="9"/>
  </w:num>
  <w:num w:numId="6">
    <w:abstractNumId w:val="5"/>
  </w:num>
  <w:num w:numId="7">
    <w:abstractNumId w:val="6"/>
  </w:num>
  <w:num w:numId="8">
    <w:abstractNumId w:val="11"/>
  </w:num>
  <w:num w:numId="9">
    <w:abstractNumId w:val="0"/>
  </w:num>
  <w:num w:numId="10">
    <w:abstractNumId w:val="1"/>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1E"/>
    <w:rsid w:val="00041BA2"/>
    <w:rsid w:val="00122D54"/>
    <w:rsid w:val="004C12C2"/>
    <w:rsid w:val="00553717"/>
    <w:rsid w:val="00690DA5"/>
    <w:rsid w:val="006A1573"/>
    <w:rsid w:val="007C7140"/>
    <w:rsid w:val="008961D1"/>
    <w:rsid w:val="009B3F89"/>
    <w:rsid w:val="00B2762D"/>
    <w:rsid w:val="00BB251E"/>
    <w:rsid w:val="00E31CAF"/>
    <w:rsid w:val="00FD7E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BC4B"/>
  <w15:chartTrackingRefBased/>
  <w15:docId w15:val="{CD26B2F5-1DAD-4A99-B312-5D199422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251E"/>
    <w:pPr>
      <w:widowControl w:val="0"/>
      <w:autoSpaceDE w:val="0"/>
      <w:autoSpaceDN w:val="0"/>
      <w:spacing w:after="0" w:line="240" w:lineRule="auto"/>
    </w:pPr>
    <w:rPr>
      <w:rFonts w:ascii="Arial Black" w:eastAsia="Arial Black" w:hAnsi="Arial Black" w:cs="Arial Black"/>
    </w:rPr>
  </w:style>
  <w:style w:type="paragraph" w:styleId="Titre1">
    <w:name w:val="heading 1"/>
    <w:basedOn w:val="Paragraphedeliste"/>
    <w:next w:val="Normal"/>
    <w:link w:val="Titre1Car"/>
    <w:uiPriority w:val="9"/>
    <w:qFormat/>
    <w:rsid w:val="00BB251E"/>
    <w:pPr>
      <w:keepNext/>
      <w:numPr>
        <w:numId w:val="13"/>
      </w:numPr>
      <w:spacing w:before="600" w:after="120" w:line="240" w:lineRule="auto"/>
      <w:ind w:left="714" w:hanging="357"/>
      <w:contextualSpacing w:val="0"/>
      <w:jc w:val="both"/>
      <w:outlineLvl w:val="0"/>
    </w:pPr>
    <w:rPr>
      <w:rFonts w:ascii="Vinci Sans Light" w:hAnsi="Vinci Sans Light"/>
      <w:b/>
      <w:b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BB251E"/>
    <w:rPr>
      <w:sz w:val="24"/>
      <w:szCs w:val="24"/>
    </w:rPr>
  </w:style>
  <w:style w:type="character" w:customStyle="1" w:styleId="CorpsdetexteCar">
    <w:name w:val="Corps de texte Car"/>
    <w:basedOn w:val="Policepardfaut"/>
    <w:link w:val="Corpsdetexte"/>
    <w:uiPriority w:val="1"/>
    <w:rsid w:val="00BB251E"/>
    <w:rPr>
      <w:rFonts w:ascii="Arial Black" w:eastAsia="Arial Black" w:hAnsi="Arial Black" w:cs="Arial Black"/>
      <w:sz w:val="24"/>
      <w:szCs w:val="24"/>
    </w:rPr>
  </w:style>
  <w:style w:type="paragraph" w:customStyle="1" w:styleId="Paragraphestandard">
    <w:name w:val="[Paragraphe standard]"/>
    <w:basedOn w:val="Normal"/>
    <w:uiPriority w:val="99"/>
    <w:rsid w:val="00BB251E"/>
    <w:pPr>
      <w:widowControl/>
      <w:adjustRightInd w:val="0"/>
      <w:spacing w:line="288" w:lineRule="auto"/>
      <w:textAlignment w:val="center"/>
    </w:pPr>
    <w:rPr>
      <w:rFonts w:ascii="MinionPro-Regular" w:eastAsiaTheme="minorHAnsi" w:hAnsi="MinionPro-Regular" w:cs="MinionPro-Regular"/>
      <w:color w:val="000000"/>
      <w:sz w:val="24"/>
      <w:szCs w:val="24"/>
    </w:rPr>
  </w:style>
  <w:style w:type="paragraph" w:styleId="Paragraphedeliste">
    <w:name w:val="List Paragraph"/>
    <w:basedOn w:val="Normal"/>
    <w:uiPriority w:val="34"/>
    <w:qFormat/>
    <w:rsid w:val="00BB251E"/>
    <w:pPr>
      <w:widowControl/>
      <w:autoSpaceDE/>
      <w:autoSpaceDN/>
      <w:spacing w:after="160" w:line="259" w:lineRule="auto"/>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BB251E"/>
    <w:pPr>
      <w:tabs>
        <w:tab w:val="center" w:pos="4536"/>
        <w:tab w:val="right" w:pos="9072"/>
      </w:tabs>
    </w:pPr>
  </w:style>
  <w:style w:type="character" w:customStyle="1" w:styleId="PieddepageCar">
    <w:name w:val="Pied de page Car"/>
    <w:basedOn w:val="Policepardfaut"/>
    <w:link w:val="Pieddepage"/>
    <w:uiPriority w:val="99"/>
    <w:rsid w:val="00BB251E"/>
    <w:rPr>
      <w:rFonts w:ascii="Arial Black" w:eastAsia="Arial Black" w:hAnsi="Arial Black" w:cs="Arial Black"/>
    </w:rPr>
  </w:style>
  <w:style w:type="paragraph" w:customStyle="1" w:styleId="paragraph">
    <w:name w:val="paragraph"/>
    <w:basedOn w:val="Normal"/>
    <w:rsid w:val="00BB251E"/>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BB251E"/>
  </w:style>
  <w:style w:type="character" w:customStyle="1" w:styleId="Titre1Car">
    <w:name w:val="Titre 1 Car"/>
    <w:basedOn w:val="Policepardfaut"/>
    <w:link w:val="Titre1"/>
    <w:uiPriority w:val="9"/>
    <w:rsid w:val="00BB251E"/>
    <w:rPr>
      <w:rFonts w:ascii="Vinci Sans Light" w:hAnsi="Vinci Sans Light"/>
      <w:b/>
      <w:bCs/>
      <w:caps/>
    </w:rPr>
  </w:style>
  <w:style w:type="paragraph" w:styleId="En-tte">
    <w:name w:val="header"/>
    <w:basedOn w:val="Normal"/>
    <w:link w:val="En-tteCar"/>
    <w:uiPriority w:val="99"/>
    <w:unhideWhenUsed/>
    <w:rsid w:val="00BB251E"/>
    <w:pPr>
      <w:tabs>
        <w:tab w:val="center" w:pos="4536"/>
        <w:tab w:val="right" w:pos="9072"/>
      </w:tabs>
    </w:pPr>
  </w:style>
  <w:style w:type="character" w:customStyle="1" w:styleId="En-tteCar">
    <w:name w:val="En-tête Car"/>
    <w:basedOn w:val="Policepardfaut"/>
    <w:link w:val="En-tte"/>
    <w:uiPriority w:val="99"/>
    <w:rsid w:val="00BB251E"/>
    <w:rPr>
      <w:rFonts w:ascii="Arial Black" w:eastAsia="Arial Black" w:hAnsi="Arial Black" w:cs="Arial Black"/>
    </w:rPr>
  </w:style>
  <w:style w:type="paragraph" w:styleId="Sansinterligne">
    <w:name w:val="No Spacing"/>
    <w:link w:val="SansinterligneCar"/>
    <w:uiPriority w:val="1"/>
    <w:qFormat/>
    <w:rsid w:val="0055371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53717"/>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E865-2822-4EA5-BEC5-B7A12FF5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1714</Words>
  <Characters>9427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FFIE</Company>
  <LinksUpToDate>false</LinksUpToDate>
  <CharactersWithSpaces>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LEPAPE Clotilde</dc:creator>
  <cp:keywords/>
  <dc:description/>
  <cp:lastModifiedBy>LEPAPE Clotilde</cp:lastModifiedBy>
  <cp:revision>3</cp:revision>
  <dcterms:created xsi:type="dcterms:W3CDTF">2020-05-18T11:09:00Z</dcterms:created>
  <dcterms:modified xsi:type="dcterms:W3CDTF">2020-05-18T11:09:00Z</dcterms:modified>
</cp:coreProperties>
</file>